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F4E79" w:val="clear"/>
        <w:spacing w:after="0" w:before="0"/>
        <w:ind w:left="120" w:right="120"/>
      </w:pPr>
      <w:r>
        <w:rPr>
          <w:rFonts w:ascii="Arial" w:cs="Arial" w:eastAsia="Arial" w:hAnsi="Arial"/>
          <w:b/>
          <w:bCs/>
          <w:color w:val="FFFFFF"/>
          <w:sz w:val="48"/>
          <w:szCs w:val="48"/>
        </w:rPr>
        <w:t xml:space="preserve">RFQ Form Optimization</w:t>
      </w:r>
    </w:p>
    <w:p>
      <w:pPr>
        <w:shd w:fill="2E75B6" w:val="clear"/>
        <w:spacing w:after="100" w:before="0"/>
        <w:ind w:left="120" w:right="120"/>
      </w:pPr>
      <w:r>
        <w:rPr>
          <w:rFonts w:ascii="Arial" w:cs="Arial" w:eastAsia="Arial" w:hAnsi="Arial"/>
          <w:color w:val="FFFFFF"/>
          <w:sz w:val="22"/>
          <w:szCs w:val="22"/>
        </w:rPr>
        <w:t xml:space="preserve">Recommendations to Reduce Step 2 Drop-Off  •  </w:t>
      </w:r>
      <w:r>
        <w:rPr>
          <w:rFonts w:ascii="Arial" w:cs="Arial" w:eastAsia="Arial" w:hAnsi="Arial"/>
          <w:i/>
          <w:iCs/>
          <w:color w:val="C8D8E8"/>
          <w:sz w:val="22"/>
          <w:szCs w:val="22"/>
        </w:rPr>
        <w:t xml:space="preserve">Revised February 2026  |  Incorporates Sr. Leadership Review</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Executive Summary</w:t>
      </w:r>
    </w:p>
    <w:p>
      <w:pPr>
        <w:spacing w:after="80" w:before="60"/>
      </w:pPr>
      <w:r>
        <w:rPr>
          <w:rFonts w:ascii="Arial" w:cs="Arial" w:eastAsia="Arial" w:hAnsi="Arial"/>
          <w:sz w:val="20"/>
          <w:szCs w:val="20"/>
        </w:rPr>
        <w:t xml:space="preserve">62.1% of prospects who complete Step 1 of the RFQ form abandon before completing Step 2. Our analysis mapped every Step 2 field directly to the pricing engine to determine which fields are essential for quote accuracy versus which create friction without meaningful pricing impact.</w:t>
      </w:r>
    </w:p>
    <w:p>
      <w:pPr>
        <w:spacing w:after="80" w:before="60"/>
      </w:pPr>
      <w:r>
        <w:rPr>
          <w:rFonts w:ascii="Arial" w:cs="Arial" w:eastAsia="Arial" w:hAnsi="Arial"/>
          <w:sz w:val="20"/>
          <w:szCs w:val="20"/>
        </w:rPr>
        <w:t xml:space="preserve">The original recommendation proposed 5 mandatory fields. Following senior leadership review, the final proposal expands mandatory fields to 12 — capturing all items that directly impact pricing and have been validated as answerable by volunteer board members. Three optional fields capture additional context. Quote accuracy is substantially improved while total visible fields drop from 23 to 15 (12 mandatory + 3 optional), a 35% reduction in form friction with significantly higher quote completeness.</w:t>
      </w:r>
    </w:p>
    <w:p>
      <w:pPr>
        <w:spacing w:after="80" w:before="60"/>
      </w:pPr>
      <w:r>
        <w:rPr>
          <w:rFonts w:ascii="Arial" w:cs="Arial" w:eastAsia="Arial" w:hAnsi="Arial"/>
          <w:sz w:val="20"/>
          <w:szCs w:val="20"/>
        </w:rPr>
        <w:t xml:space="preserve">Two additional items — TIC/Commercial Condo identification and a semi-annual/annual large-community price floor — are documented as internal pricing software enhancements, not RFQ form changes.</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Impact Summary</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1100"/>
        <w:gridCol w:w="1100"/>
        <w:gridCol w:w="4560"/>
      </w:tblGrid>
      <w:tr>
        <w:trPr>
          <w:tblHeader/>
        </w:trPr>
        <w:tc>
          <w:tcPr>
            <w:tcW w:type="dxa" w:w="26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Category</w:t>
            </w:r>
          </w:p>
        </w:tc>
        <w:tc>
          <w:tcPr>
            <w:tcW w:type="dxa" w:w="1100"/>
            <w:gridSpan w:val="1"/>
            <w:tcBorders>
              <w:top w:val="single" w:color="CCCCCC" w:sz="4"/>
              <w:left w:val="single" w:color="CCCCCC" w:sz="4"/>
              <w:bottom w:val="single" w:color="CCCCCC" w:sz="4"/>
              <w:right w:val="single" w:color="CCCCCC" w:sz="4"/>
            </w:tcBorders>
            <w:shd w:fill="2E75B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Current</w:t>
            </w:r>
          </w:p>
        </w:tc>
        <w:tc>
          <w:tcPr>
            <w:tcW w:type="dxa" w:w="1100"/>
            <w:gridSpan w:val="1"/>
            <w:tcBorders>
              <w:top w:val="single" w:color="CCCCCC" w:sz="4"/>
              <w:left w:val="single" w:color="CCCCCC" w:sz="4"/>
              <w:bottom w:val="single" w:color="CCCCCC" w:sz="4"/>
              <w:right w:val="single" w:color="CCCCCC" w:sz="4"/>
            </w:tcBorders>
            <w:shd w:fill="2E75B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Proposed</w:t>
            </w:r>
          </w:p>
        </w:tc>
        <w:tc>
          <w:tcPr>
            <w:tcW w:type="dxa" w:w="456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Notes</w:t>
            </w:r>
          </w:p>
        </w:tc>
      </w:tr>
      <w:tr>
        <w:tc>
          <w:tcPr>
            <w:tcW w:type="dxa" w:w="2600"/>
            <w:gridSpan w:val="1"/>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pPr>
              <w:jc w:val="left"/>
            </w:pPr>
            <w:r>
              <w:rPr>
                <w:rFonts w:ascii="Arial" w:cs="Arial" w:eastAsia="Arial" w:hAnsi="Arial"/>
                <w:b/>
                <w:bCs/>
                <w:color w:val="375623"/>
                <w:sz w:val="18"/>
                <w:szCs w:val="18"/>
              </w:rPr>
              <w:t xml:space="preserve">KEEP (Mandatory)</w:t>
            </w:r>
          </w:p>
        </w:tc>
        <w:tc>
          <w:tcPr>
            <w:tcW w:type="dxa" w:w="1100"/>
            <w:gridSpan w:val="1"/>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pPr>
              <w:jc w:val="center"/>
            </w:pPr>
            <w:r>
              <w:rPr>
                <w:rFonts w:ascii="Arial" w:cs="Arial" w:eastAsia="Arial" w:hAnsi="Arial"/>
                <w:b w:val="false"/>
                <w:bCs w:val="false"/>
                <w:color w:val="375623"/>
                <w:sz w:val="18"/>
                <w:szCs w:val="18"/>
              </w:rPr>
              <w:t xml:space="preserve">4</w:t>
            </w:r>
          </w:p>
        </w:tc>
        <w:tc>
          <w:tcPr>
            <w:tcW w:type="dxa" w:w="1100"/>
            <w:gridSpan w:val="1"/>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pPr>
              <w:jc w:val="center"/>
            </w:pPr>
            <w:r>
              <w:rPr>
                <w:rFonts w:ascii="Arial" w:cs="Arial" w:eastAsia="Arial" w:hAnsi="Arial"/>
                <w:b/>
                <w:bCs/>
                <w:color w:val="375623"/>
                <w:sz w:val="18"/>
                <w:szCs w:val="18"/>
              </w:rPr>
              <w:t xml:space="preserve">4</w:t>
            </w:r>
          </w:p>
        </w:tc>
        <w:tc>
          <w:tcPr>
            <w:tcW w:type="dxa" w:w="4560"/>
            <w:gridSpan w:val="1"/>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pPr>
              <w:jc w:val="left"/>
            </w:pPr>
            <w:r>
              <w:rPr>
                <w:rFonts w:ascii="Arial" w:cs="Arial" w:eastAsia="Arial" w:hAnsi="Arial"/>
                <w:b w:val="false"/>
                <w:bCs w:val="false"/>
                <w:color w:val="375623"/>
                <w:sz w:val="18"/>
                <w:szCs w:val="18"/>
              </w:rPr>
              <w:t xml:space="preserve">Core pricing inputs every prospect knows instantly</w:t>
            </w:r>
          </w:p>
        </w:tc>
      </w:tr>
      <w:tr>
        <w:tc>
          <w:tcPr>
            <w:tcW w:type="dxa" w:w="2600"/>
            <w:gridSpan w:val="1"/>
            <w:tcBorders>
              <w:top w:val="single" w:color="CCCCCC" w:sz="4"/>
              <w:left w:val="single" w:color="CCCCCC" w:sz="4"/>
              <w:bottom w:val="single" w:color="CCCCCC" w:sz="4"/>
              <w:right w:val="single" w:color="CCCCCC" w:sz="4"/>
            </w:tcBorders>
            <w:shd w:fill="D6E4F0" w:val="clear"/>
            <w:tcMar>
              <w:top w:type="dxa" w:w="80"/>
              <w:left w:type="dxa" w:w="120"/>
              <w:bottom w:type="dxa" w:w="80"/>
              <w:right w:type="dxa" w:w="120"/>
            </w:tcMar>
          </w:tcPr>
          <w:p>
            <w:pPr>
              <w:jc w:val="left"/>
            </w:pPr>
            <w:r>
              <w:rPr>
                <w:rFonts w:ascii="Arial" w:cs="Arial" w:eastAsia="Arial" w:hAnsi="Arial"/>
                <w:b/>
                <w:bCs/>
                <w:color w:val="1F4E79"/>
                <w:sz w:val="18"/>
                <w:szCs w:val="18"/>
              </w:rPr>
              <w:t xml:space="preserve">PROMOTED TO MANDATORY (Leader Decision)</w:t>
            </w:r>
          </w:p>
        </w:tc>
        <w:tc>
          <w:tcPr>
            <w:tcW w:type="dxa" w:w="1100"/>
            <w:gridSpan w:val="1"/>
            <w:tcBorders>
              <w:top w:val="single" w:color="CCCCCC" w:sz="4"/>
              <w:left w:val="single" w:color="CCCCCC" w:sz="4"/>
              <w:bottom w:val="single" w:color="CCCCCC" w:sz="4"/>
              <w:right w:val="single" w:color="CCCCCC" w:sz="4"/>
            </w:tcBorders>
            <w:shd w:fill="D6E4F0" w:val="clear"/>
            <w:tcMar>
              <w:top w:type="dxa" w:w="80"/>
              <w:left w:type="dxa" w:w="120"/>
              <w:bottom w:type="dxa" w:w="80"/>
              <w:right w:type="dxa" w:w="120"/>
            </w:tcMar>
          </w:tcPr>
          <w:p>
            <w:pPr>
              <w:jc w:val="center"/>
            </w:pPr>
            <w:r>
              <w:rPr>
                <w:rFonts w:ascii="Arial" w:cs="Arial" w:eastAsia="Arial" w:hAnsi="Arial"/>
                <w:b w:val="false"/>
                <w:bCs w:val="false"/>
                <w:color w:val="1F4E79"/>
                <w:sz w:val="18"/>
                <w:szCs w:val="18"/>
              </w:rPr>
              <w:t xml:space="preserve">Optional/Remove</w:t>
            </w:r>
          </w:p>
        </w:tc>
        <w:tc>
          <w:tcPr>
            <w:tcW w:type="dxa" w:w="1100"/>
            <w:gridSpan w:val="1"/>
            <w:tcBorders>
              <w:top w:val="single" w:color="CCCCCC" w:sz="4"/>
              <w:left w:val="single" w:color="CCCCCC" w:sz="4"/>
              <w:bottom w:val="single" w:color="CCCCCC" w:sz="4"/>
              <w:right w:val="single" w:color="CCCCCC" w:sz="4"/>
            </w:tcBorders>
            <w:shd w:fill="D6E4F0" w:val="clear"/>
            <w:tcMar>
              <w:top w:type="dxa" w:w="80"/>
              <w:left w:type="dxa" w:w="120"/>
              <w:bottom w:type="dxa" w:w="80"/>
              <w:right w:type="dxa" w:w="120"/>
            </w:tcMar>
          </w:tcPr>
          <w:p>
            <w:pPr>
              <w:jc w:val="center"/>
            </w:pPr>
            <w:r>
              <w:rPr>
                <w:rFonts w:ascii="Arial" w:cs="Arial" w:eastAsia="Arial" w:hAnsi="Arial"/>
                <w:b/>
                <w:bCs/>
                <w:color w:val="1F4E79"/>
                <w:sz w:val="18"/>
                <w:szCs w:val="18"/>
              </w:rPr>
              <w:t xml:space="preserve">8</w:t>
            </w:r>
          </w:p>
        </w:tc>
        <w:tc>
          <w:tcPr>
            <w:tcW w:type="dxa" w:w="4560"/>
            <w:gridSpan w:val="1"/>
            <w:tcBorders>
              <w:top w:val="single" w:color="CCCCCC" w:sz="4"/>
              <w:left w:val="single" w:color="CCCCCC" w:sz="4"/>
              <w:bottom w:val="single" w:color="CCCCCC" w:sz="4"/>
              <w:right w:val="single" w:color="CCCCCC" w:sz="4"/>
            </w:tcBorders>
            <w:shd w:fill="D6E4F0" w:val="clear"/>
            <w:tcMar>
              <w:top w:type="dxa" w:w="80"/>
              <w:left w:type="dxa" w:w="120"/>
              <w:bottom w:type="dxa" w:w="80"/>
              <w:right w:type="dxa" w:w="120"/>
            </w:tcMar>
          </w:tcPr>
          <w:p>
            <w:pPr>
              <w:jc w:val="left"/>
            </w:pPr>
            <w:r>
              <w:rPr>
                <w:rFonts w:ascii="Arial" w:cs="Arial" w:eastAsia="Arial" w:hAnsi="Arial"/>
                <w:b w:val="false"/>
                <w:bCs w:val="false"/>
                <w:color w:val="1F4E79"/>
                <w:sz w:val="18"/>
                <w:szCs w:val="18"/>
              </w:rPr>
              <w:t xml:space="preserve">Dues frequency, bank accounts, investment accts+CDs (combined), loans, cards, special assessment checkbox, last financial report date, cost centers (rephrased)</w:t>
            </w:r>
          </w:p>
        </w:tc>
      </w:tr>
      <w:tr>
        <w:tc>
          <w:tcPr>
            <w:tcW w:type="dxa" w:w="26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bCs/>
                <w:color w:val="843C0C"/>
                <w:sz w:val="18"/>
                <w:szCs w:val="18"/>
              </w:rPr>
              <w:t xml:space="preserve">OPTIONAL</w:t>
            </w:r>
          </w:p>
        </w:tc>
        <w:tc>
          <w:tcPr>
            <w:tcW w:type="dxa" w:w="11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center"/>
            </w:pPr>
            <w:r>
              <w:rPr>
                <w:rFonts w:ascii="Arial" w:cs="Arial" w:eastAsia="Arial" w:hAnsi="Arial"/>
                <w:b w:val="false"/>
                <w:bCs w:val="false"/>
                <w:color w:val="843C0C"/>
                <w:sz w:val="18"/>
                <w:szCs w:val="18"/>
              </w:rPr>
              <w:t xml:space="preserve">5</w:t>
            </w:r>
          </w:p>
        </w:tc>
        <w:tc>
          <w:tcPr>
            <w:tcW w:type="dxa" w:w="11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center"/>
            </w:pPr>
            <w:r>
              <w:rPr>
                <w:rFonts w:ascii="Arial" w:cs="Arial" w:eastAsia="Arial" w:hAnsi="Arial"/>
                <w:b/>
                <w:bCs/>
                <w:color w:val="843C0C"/>
                <w:sz w:val="18"/>
                <w:szCs w:val="18"/>
              </w:rPr>
              <w:t xml:space="preserve">3</w:t>
            </w:r>
          </w:p>
        </w:tc>
        <w:tc>
          <w:tcPr>
            <w:tcW w:type="dxa" w:w="456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val="false"/>
                <w:bCs w:val="false"/>
                <w:color w:val="843C0C"/>
                <w:sz w:val="18"/>
                <w:szCs w:val="18"/>
              </w:rPr>
              <w:t xml:space="preserve">Avg dues/unit/month, employees (Y/N gate), delinquency challenge checkbox</w:t>
            </w:r>
          </w:p>
        </w:tc>
      </w:tr>
      <w:tr>
        <w:tc>
          <w:tcPr>
            <w:tcW w:type="dxa" w:w="2600"/>
            <w:gridSpan w:val="1"/>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pPr>
              <w:jc w:val="left"/>
            </w:pPr>
            <w:r>
              <w:rPr>
                <w:rFonts w:ascii="Arial" w:cs="Arial" w:eastAsia="Arial" w:hAnsi="Arial"/>
                <w:b/>
                <w:bCs/>
                <w:color w:val="4A235A"/>
                <w:sz w:val="18"/>
                <w:szCs w:val="18"/>
              </w:rPr>
              <w:t xml:space="preserve">AUTO-DERIVE (Remove from form)</w:t>
            </w:r>
          </w:p>
        </w:tc>
        <w:tc>
          <w:tcPr>
            <w:tcW w:type="dxa" w:w="1100"/>
            <w:gridSpan w:val="1"/>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pPr>
              <w:jc w:val="center"/>
            </w:pPr>
            <w:r>
              <w:rPr>
                <w:rFonts w:ascii="Arial" w:cs="Arial" w:eastAsia="Arial" w:hAnsi="Arial"/>
                <w:b w:val="false"/>
                <w:bCs w:val="false"/>
                <w:color w:val="4A235A"/>
                <w:sz w:val="18"/>
                <w:szCs w:val="18"/>
              </w:rPr>
              <w:t xml:space="preserve">2</w:t>
            </w:r>
          </w:p>
        </w:tc>
        <w:tc>
          <w:tcPr>
            <w:tcW w:type="dxa" w:w="1100"/>
            <w:gridSpan w:val="1"/>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pPr>
              <w:jc w:val="center"/>
            </w:pPr>
            <w:r>
              <w:rPr>
                <w:rFonts w:ascii="Arial" w:cs="Arial" w:eastAsia="Arial" w:hAnsi="Arial"/>
                <w:b/>
                <w:bCs/>
                <w:color w:val="4A235A"/>
                <w:sz w:val="18"/>
                <w:szCs w:val="18"/>
              </w:rPr>
              <w:t xml:space="preserve">0</w:t>
            </w:r>
          </w:p>
        </w:tc>
        <w:tc>
          <w:tcPr>
            <w:tcW w:type="dxa" w:w="4560"/>
            <w:gridSpan w:val="1"/>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pPr>
              <w:jc w:val="left"/>
            </w:pPr>
            <w:r>
              <w:rPr>
                <w:rFonts w:ascii="Arial" w:cs="Arial" w:eastAsia="Arial" w:hAnsi="Arial"/>
                <w:b w:val="false"/>
                <w:bCs w:val="false"/>
                <w:color w:val="4A235A"/>
                <w:sz w:val="18"/>
                <w:szCs w:val="18"/>
              </w:rPr>
              <w:t xml:space="preserve">PCI derived from zip code (add zip to Step 1); Self-Managed derived from Step 1 ‘How Currently Managed’</w:t>
            </w:r>
          </w:p>
        </w:tc>
      </w:tr>
      <w:tr>
        <w:tc>
          <w:tcPr>
            <w:tcW w:type="dxa" w:w="2600"/>
            <w:gridSpan w:val="1"/>
            <w:tcBorders>
              <w:top w:val="single" w:color="CCCCCC" w:sz="4"/>
              <w:left w:val="single" w:color="CCCCCC" w:sz="4"/>
              <w:bottom w:val="single" w:color="CCCCCC" w:sz="4"/>
              <w:right w:val="single" w:color="CCCCCC" w:sz="4"/>
            </w:tcBorders>
            <w:shd w:fill="D5F0F0" w:val="clear"/>
            <w:tcMar>
              <w:top w:type="dxa" w:w="80"/>
              <w:left w:type="dxa" w:w="120"/>
              <w:bottom w:type="dxa" w:w="80"/>
              <w:right w:type="dxa" w:w="120"/>
            </w:tcMar>
          </w:tcPr>
          <w:p>
            <w:pPr>
              <w:jc w:val="left"/>
            </w:pPr>
            <w:r>
              <w:rPr>
                <w:rFonts w:ascii="Arial" w:cs="Arial" w:eastAsia="Arial" w:hAnsi="Arial"/>
                <w:b/>
                <w:bCs/>
                <w:color w:val="0D4F4F"/>
                <w:sz w:val="18"/>
                <w:szCs w:val="18"/>
              </w:rPr>
              <w:t xml:space="preserve">INTERNAL PRICING SOFTWARE FLAGS</w:t>
            </w:r>
          </w:p>
        </w:tc>
        <w:tc>
          <w:tcPr>
            <w:tcW w:type="dxa" w:w="1100"/>
            <w:gridSpan w:val="1"/>
            <w:tcBorders>
              <w:top w:val="single" w:color="CCCCCC" w:sz="4"/>
              <w:left w:val="single" w:color="CCCCCC" w:sz="4"/>
              <w:bottom w:val="single" w:color="CCCCCC" w:sz="4"/>
              <w:right w:val="single" w:color="CCCCCC" w:sz="4"/>
            </w:tcBorders>
            <w:shd w:fill="D5F0F0" w:val="clear"/>
            <w:tcMar>
              <w:top w:type="dxa" w:w="80"/>
              <w:left w:type="dxa" w:w="120"/>
              <w:bottom w:type="dxa" w:w="80"/>
              <w:right w:type="dxa" w:w="120"/>
            </w:tcMar>
          </w:tcPr>
          <w:p>
            <w:pPr>
              <w:jc w:val="center"/>
            </w:pPr>
            <w:r>
              <w:rPr>
                <w:rFonts w:ascii="Arial" w:cs="Arial" w:eastAsia="Arial" w:hAnsi="Arial"/>
                <w:b w:val="false"/>
                <w:bCs w:val="false"/>
                <w:color w:val="0D4F4F"/>
                <w:sz w:val="18"/>
                <w:szCs w:val="18"/>
              </w:rPr>
              <w:t xml:space="preserve">On form</w:t>
            </w:r>
          </w:p>
        </w:tc>
        <w:tc>
          <w:tcPr>
            <w:tcW w:type="dxa" w:w="1100"/>
            <w:gridSpan w:val="1"/>
            <w:tcBorders>
              <w:top w:val="single" w:color="CCCCCC" w:sz="4"/>
              <w:left w:val="single" w:color="CCCCCC" w:sz="4"/>
              <w:bottom w:val="single" w:color="CCCCCC" w:sz="4"/>
              <w:right w:val="single" w:color="CCCCCC" w:sz="4"/>
            </w:tcBorders>
            <w:shd w:fill="D5F0F0" w:val="clear"/>
            <w:tcMar>
              <w:top w:type="dxa" w:w="80"/>
              <w:left w:type="dxa" w:w="120"/>
              <w:bottom w:type="dxa" w:w="80"/>
              <w:right w:type="dxa" w:w="120"/>
            </w:tcMar>
          </w:tcPr>
          <w:p>
            <w:pPr>
              <w:jc w:val="center"/>
            </w:pPr>
            <w:r>
              <w:rPr>
                <w:rFonts w:ascii="Arial" w:cs="Arial" w:eastAsia="Arial" w:hAnsi="Arial"/>
                <w:b/>
                <w:bCs/>
                <w:color w:val="0D4F4F"/>
                <w:sz w:val="18"/>
                <w:szCs w:val="18"/>
              </w:rPr>
              <w:t xml:space="preserve">Internal only</w:t>
            </w:r>
          </w:p>
        </w:tc>
        <w:tc>
          <w:tcPr>
            <w:tcW w:type="dxa" w:w="4560"/>
            <w:gridSpan w:val="1"/>
            <w:tcBorders>
              <w:top w:val="single" w:color="CCCCCC" w:sz="4"/>
              <w:left w:val="single" w:color="CCCCCC" w:sz="4"/>
              <w:bottom w:val="single" w:color="CCCCCC" w:sz="4"/>
              <w:right w:val="single" w:color="CCCCCC" w:sz="4"/>
            </w:tcBorders>
            <w:shd w:fill="D5F0F0" w:val="clear"/>
            <w:tcMar>
              <w:top w:type="dxa" w:w="80"/>
              <w:left w:type="dxa" w:w="120"/>
              <w:bottom w:type="dxa" w:w="80"/>
              <w:right w:type="dxa" w:w="120"/>
            </w:tcMar>
          </w:tcPr>
          <w:p>
            <w:pPr>
              <w:jc w:val="left"/>
            </w:pPr>
            <w:r>
              <w:rPr>
                <w:rFonts w:ascii="Arial" w:cs="Arial" w:eastAsia="Arial" w:hAnsi="Arial"/>
                <w:b w:val="false"/>
                <w:bCs w:val="false"/>
                <w:color w:val="0D4F4F"/>
                <w:sz w:val="18"/>
                <w:szCs w:val="18"/>
              </w:rPr>
              <w:t xml:space="preserve">TIC and Commercial Condo identified from community name in pricing software. Semi-annual/annual + large community price floor adjustment (separate software enhancement).</w:t>
            </w:r>
          </w:p>
        </w:tc>
      </w:tr>
      <w:tr>
        <w:tc>
          <w:tcPr>
            <w:tcW w:type="dxa" w:w="2600"/>
            <w:gridSpan w:val="1"/>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pPr>
              <w:jc w:val="left"/>
            </w:pPr>
            <w:r>
              <w:rPr>
                <w:rFonts w:ascii="Arial" w:cs="Arial" w:eastAsia="Arial" w:hAnsi="Arial"/>
                <w:b/>
                <w:bCs/>
                <w:color w:val="7B0000"/>
                <w:sz w:val="18"/>
                <w:szCs w:val="18"/>
              </w:rPr>
              <w:t xml:space="preserve">REMOVE</w:t>
            </w:r>
          </w:p>
        </w:tc>
        <w:tc>
          <w:tcPr>
            <w:tcW w:type="dxa" w:w="1100"/>
            <w:gridSpan w:val="1"/>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pPr>
              <w:jc w:val="center"/>
            </w:pPr>
            <w:r>
              <w:rPr>
                <w:rFonts w:ascii="Arial" w:cs="Arial" w:eastAsia="Arial" w:hAnsi="Arial"/>
                <w:b w:val="false"/>
                <w:bCs w:val="false"/>
                <w:color w:val="7B0000"/>
                <w:sz w:val="18"/>
                <w:szCs w:val="18"/>
              </w:rPr>
              <w:t xml:space="preserve">11</w:t>
            </w:r>
          </w:p>
        </w:tc>
        <w:tc>
          <w:tcPr>
            <w:tcW w:type="dxa" w:w="1100"/>
            <w:gridSpan w:val="1"/>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pPr>
              <w:jc w:val="center"/>
            </w:pPr>
            <w:r>
              <w:rPr>
                <w:rFonts w:ascii="Arial" w:cs="Arial" w:eastAsia="Arial" w:hAnsi="Arial"/>
                <w:b/>
                <w:bCs/>
                <w:color w:val="7B0000"/>
                <w:sz w:val="18"/>
                <w:szCs w:val="18"/>
              </w:rPr>
              <w:t xml:space="preserve">0</w:t>
            </w:r>
          </w:p>
        </w:tc>
        <w:tc>
          <w:tcPr>
            <w:tcW w:type="dxa" w:w="4560"/>
            <w:gridSpan w:val="1"/>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pPr>
              <w:jc w:val="left"/>
            </w:pPr>
            <w:r>
              <w:rPr>
                <w:rFonts w:ascii="Arial" w:cs="Arial" w:eastAsia="Arial" w:hAnsi="Arial"/>
                <w:b w:val="false"/>
                <w:bCs w:val="false"/>
                <w:color w:val="7B0000"/>
                <w:sz w:val="18"/>
                <w:szCs w:val="18"/>
              </w:rPr>
              <w:t xml:space="preserve">Recover on follow-up call: vendor bills, current software, cash flow issues, report quality, community complexity, # delinquent homes, avg dues (if not provided)</w:t>
            </w:r>
          </w:p>
        </w:tc>
      </w:tr>
    </w:tbl>
    <w:p>
      <w:pPr>
        <w:spacing w:after="40" w:before="40"/>
      </w:pPr>
      <w:r>
        <w:t xml:space="preserve"/>
      </w:r>
    </w:p>
    <w:p>
      <w:pPr>
        <w:spacing w:after="80" w:before="60"/>
      </w:pPr>
      <w:r>
        <w:rPr>
          <w:rFonts w:ascii="Arial" w:cs="Arial" w:eastAsia="Arial" w:hAnsi="Arial"/>
          <w:b/>
          <w:bCs/>
          <w:sz w:val="20"/>
          <w:szCs w:val="20"/>
        </w:rPr>
        <w:t xml:space="preserve">Current Step 2 field count: 23 fields</w:t>
      </w:r>
    </w:p>
    <w:p>
      <w:pPr>
        <w:spacing w:after="80" w:before="60"/>
      </w:pPr>
      <w:r>
        <w:rPr>
          <w:rFonts w:ascii="Arial" w:cs="Arial" w:eastAsia="Arial" w:hAnsi="Arial"/>
          <w:b/>
          <w:bCs/>
          <w:sz w:val="20"/>
          <w:szCs w:val="20"/>
        </w:rPr>
        <w:t xml:space="preserve">Proposed Step 2 field count: 12 mandatory + 3 optional = 15 fields visible</w:t>
      </w:r>
    </w:p>
    <w:p>
      <w:pPr>
        <w:spacing w:after="80" w:before="60"/>
      </w:pPr>
      <w:r>
        <w:rPr>
          <w:rFonts w:ascii="Arial" w:cs="Arial" w:eastAsia="Arial" w:hAnsi="Arial"/>
          <w:b/>
          <w:bCs/>
          <w:sz w:val="20"/>
          <w:szCs w:val="20"/>
        </w:rPr>
        <w:t xml:space="preserve">Projected reduction in form friction: ~35% fewer fields with higher quote accuracy</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Before &amp; After: Form Experience</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CURRENT STEP 2 (23 fields)</w:t>
            </w:r>
          </w:p>
        </w:tc>
        <w:tc>
          <w:tcPr>
            <w:tcW w:type="dxa" w:w="4680"/>
            <w:gridSpan w:val="1"/>
            <w:tcBorders>
              <w:top w:val="single" w:color="CCCCCC" w:sz="4"/>
              <w:left w:val="single" w:color="CCCCCC" w:sz="4"/>
              <w:bottom w:val="single" w:color="CCCCCC" w:sz="4"/>
              <w:right w:val="single" w:color="CCCCCC" w:sz="4"/>
            </w:tcBorders>
            <w:shd w:fill="2E75B6" w:val="clear"/>
            <w:tcMar>
              <w:top w:type="dxa" w:w="80"/>
              <w:left w:type="dxa" w:w="120"/>
              <w:bottom w:type="dxa" w:w="80"/>
              <w:right w:type="dxa" w:w="120"/>
            </w:tcMar>
          </w:tcPr>
          <w:p>
            <w:pPr>
              <w:jc w:val="left"/>
            </w:pPr>
            <w:r>
              <w:rPr>
                <w:rFonts w:ascii="Arial" w:cs="Arial" w:eastAsia="Arial" w:hAnsi="Arial"/>
                <w:b/>
                <w:bCs/>
                <w:color w:val="FFFFFF"/>
                <w:sz w:val="18"/>
                <w:szCs w:val="18"/>
              </w:rPr>
              <w:t xml:space="preserve">PROPOSED STEP 2 (12 mandatory + 3 optional)</w:t>
            </w:r>
          </w:p>
        </w:tc>
      </w:tr>
      <w:tr>
        <w:tc>
          <w:tcPr>
            <w:tcW w:type="dxa" w:w="468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spacing w:after="30"/>
            </w:pPr>
            <w:r>
              <w:rPr>
                <w:rFonts w:ascii="Arial" w:cs="Arial" w:eastAsia="Arial" w:hAnsi="Arial"/>
                <w:sz w:val="18"/>
                <w:szCs w:val="18"/>
              </w:rPr>
              <w:t xml:space="preserve">Property Name</w:t>
            </w:r>
          </w:p>
          <w:p>
            <w:pPr>
              <w:spacing w:after="30"/>
            </w:pPr>
            <w:r>
              <w:rPr>
                <w:rFonts w:ascii="Arial" w:cs="Arial" w:eastAsia="Arial" w:hAnsi="Arial"/>
                <w:sz w:val="18"/>
                <w:szCs w:val="18"/>
              </w:rPr>
              <w:t xml:space="preserve">Property Type</w:t>
            </w:r>
          </w:p>
          <w:p>
            <w:pPr>
              <w:spacing w:after="30"/>
            </w:pPr>
            <w:r>
              <w:rPr>
                <w:rFonts w:ascii="Arial" w:cs="Arial" w:eastAsia="Arial" w:hAnsi="Arial"/>
                <w:sz w:val="18"/>
                <w:szCs w:val="18"/>
              </w:rPr>
              <w:t xml:space="preserve">City / State / Zip</w:t>
            </w:r>
          </w:p>
          <w:p>
            <w:pPr>
              <w:spacing w:after="30"/>
            </w:pPr>
            <w:r>
              <w:rPr>
                <w:rFonts w:ascii="Arial" w:cs="Arial" w:eastAsia="Arial" w:hAnsi="Arial"/>
                <w:sz w:val="18"/>
                <w:szCs w:val="18"/>
              </w:rPr>
              <w:t xml:space="preserve">How Currently Managed</w:t>
            </w:r>
          </w:p>
          <w:p>
            <w:pPr>
              <w:spacing w:after="30"/>
            </w:pPr>
            <w:r>
              <w:rPr>
                <w:rFonts w:ascii="Arial" w:cs="Arial" w:eastAsia="Arial" w:hAnsi="Arial"/>
                <w:sz w:val="18"/>
                <w:szCs w:val="18"/>
              </w:rPr>
              <w:t xml:space="preserve"># of Homes / Units</w:t>
            </w:r>
          </w:p>
          <w:p>
            <w:pPr>
              <w:spacing w:after="30"/>
            </w:pPr>
            <w:r>
              <w:rPr>
                <w:rFonts w:ascii="Arial" w:cs="Arial" w:eastAsia="Arial" w:hAnsi="Arial"/>
                <w:sz w:val="18"/>
                <w:szCs w:val="18"/>
              </w:rPr>
              <w:t xml:space="preserve">Dues Collection Frequency</w:t>
            </w:r>
          </w:p>
          <w:p>
            <w:pPr>
              <w:spacing w:after="30"/>
            </w:pPr>
            <w:r>
              <w:rPr>
                <w:rFonts w:ascii="Arial" w:cs="Arial" w:eastAsia="Arial" w:hAnsi="Arial"/>
                <w:sz w:val="18"/>
                <w:szCs w:val="18"/>
              </w:rPr>
              <w:t xml:space="preserve">Avg Amount of Dues / Home</w:t>
            </w:r>
          </w:p>
          <w:p>
            <w:pPr>
              <w:spacing w:after="30"/>
            </w:pPr>
            <w:r>
              <w:rPr>
                <w:rFonts w:ascii="Arial" w:cs="Arial" w:eastAsia="Arial" w:hAnsi="Arial"/>
                <w:sz w:val="18"/>
                <w:szCs w:val="18"/>
              </w:rPr>
              <w:t xml:space="preserve"># Homes Delinquent Over 60 Days</w:t>
            </w:r>
          </w:p>
          <w:p>
            <w:pPr>
              <w:spacing w:after="30"/>
            </w:pPr>
            <w:r>
              <w:rPr>
                <w:rFonts w:ascii="Arial" w:cs="Arial" w:eastAsia="Arial" w:hAnsi="Arial"/>
                <w:sz w:val="18"/>
                <w:szCs w:val="18"/>
              </w:rPr>
              <w:t xml:space="preserve">Avg # Vendor Bills / Month</w:t>
            </w:r>
          </w:p>
          <w:p>
            <w:pPr>
              <w:spacing w:after="30"/>
            </w:pPr>
            <w:r>
              <w:rPr>
                <w:rFonts w:ascii="Arial" w:cs="Arial" w:eastAsia="Arial" w:hAnsi="Arial"/>
                <w:sz w:val="18"/>
                <w:szCs w:val="18"/>
              </w:rPr>
              <w:t xml:space="preserve">Problems Paying Bills (Cash Flow)</w:t>
            </w:r>
          </w:p>
          <w:p>
            <w:pPr>
              <w:spacing w:after="30"/>
            </w:pPr>
            <w:r>
              <w:rPr>
                <w:rFonts w:ascii="Arial" w:cs="Arial" w:eastAsia="Arial" w:hAnsi="Arial"/>
                <w:sz w:val="18"/>
                <w:szCs w:val="18"/>
              </w:rPr>
              <w:t xml:space="preserve"># of Bank Accounts</w:t>
            </w:r>
          </w:p>
          <w:p>
            <w:pPr>
              <w:spacing w:after="30"/>
            </w:pPr>
            <w:r>
              <w:rPr>
                <w:rFonts w:ascii="Arial" w:cs="Arial" w:eastAsia="Arial" w:hAnsi="Arial"/>
                <w:sz w:val="18"/>
                <w:szCs w:val="18"/>
              </w:rPr>
              <w:t xml:space="preserve"># of Investment Accounts</w:t>
            </w:r>
          </w:p>
          <w:p>
            <w:pPr>
              <w:spacing w:after="30"/>
            </w:pPr>
            <w:r>
              <w:rPr>
                <w:rFonts w:ascii="Arial" w:cs="Arial" w:eastAsia="Arial" w:hAnsi="Arial"/>
                <w:sz w:val="18"/>
                <w:szCs w:val="18"/>
              </w:rPr>
              <w:t xml:space="preserve"># of CDs</w:t>
            </w:r>
          </w:p>
          <w:p>
            <w:pPr>
              <w:spacing w:after="30"/>
            </w:pPr>
            <w:r>
              <w:rPr>
                <w:rFonts w:ascii="Arial" w:cs="Arial" w:eastAsia="Arial" w:hAnsi="Arial"/>
                <w:sz w:val="18"/>
                <w:szCs w:val="18"/>
              </w:rPr>
              <w:t xml:space="preserve"># of Credit/Debit Cards</w:t>
            </w:r>
          </w:p>
          <w:p>
            <w:pPr>
              <w:spacing w:after="30"/>
            </w:pPr>
            <w:r>
              <w:rPr>
                <w:rFonts w:ascii="Arial" w:cs="Arial" w:eastAsia="Arial" w:hAnsi="Arial"/>
                <w:sz w:val="18"/>
                <w:szCs w:val="18"/>
              </w:rPr>
              <w:t xml:space="preserve"># of Special Assessments</w:t>
            </w:r>
          </w:p>
          <w:p>
            <w:pPr>
              <w:spacing w:after="30"/>
            </w:pPr>
            <w:r>
              <w:rPr>
                <w:rFonts w:ascii="Arial" w:cs="Arial" w:eastAsia="Arial" w:hAnsi="Arial"/>
                <w:sz w:val="18"/>
                <w:szCs w:val="18"/>
              </w:rPr>
              <w:t xml:space="preserve"># of Existing Loans</w:t>
            </w:r>
          </w:p>
          <w:p>
            <w:pPr>
              <w:spacing w:after="30"/>
            </w:pPr>
            <w:r>
              <w:rPr>
                <w:rFonts w:ascii="Arial" w:cs="Arial" w:eastAsia="Arial" w:hAnsi="Arial"/>
                <w:sz w:val="18"/>
                <w:szCs w:val="18"/>
              </w:rPr>
              <w:t xml:space="preserve"># of Cost Centers Tracked</w:t>
            </w:r>
          </w:p>
          <w:p>
            <w:pPr>
              <w:spacing w:after="30"/>
            </w:pPr>
            <w:r>
              <w:rPr>
                <w:rFonts w:ascii="Arial" w:cs="Arial" w:eastAsia="Arial" w:hAnsi="Arial"/>
                <w:sz w:val="18"/>
                <w:szCs w:val="18"/>
              </w:rPr>
              <w:t xml:space="preserve">Current Quality of Reports</w:t>
            </w:r>
          </w:p>
          <w:p>
            <w:pPr>
              <w:spacing w:after="30"/>
            </w:pPr>
            <w:r>
              <w:rPr>
                <w:rFonts w:ascii="Arial" w:cs="Arial" w:eastAsia="Arial" w:hAnsi="Arial"/>
                <w:sz w:val="18"/>
                <w:szCs w:val="18"/>
              </w:rPr>
              <w:t xml:space="preserve">Date of Last Professional Report</w:t>
            </w:r>
          </w:p>
          <w:p>
            <w:pPr>
              <w:spacing w:after="30"/>
            </w:pPr>
            <w:r>
              <w:rPr>
                <w:rFonts w:ascii="Arial" w:cs="Arial" w:eastAsia="Arial" w:hAnsi="Arial"/>
                <w:sz w:val="18"/>
                <w:szCs w:val="18"/>
              </w:rPr>
              <w:t xml:space="preserve"># Direct Employees on Payroll</w:t>
            </w:r>
          </w:p>
          <w:p>
            <w:pPr>
              <w:spacing w:after="30"/>
            </w:pPr>
            <w:r>
              <w:rPr>
                <w:rFonts w:ascii="Arial" w:cs="Arial" w:eastAsia="Arial" w:hAnsi="Arial"/>
                <w:sz w:val="18"/>
                <w:szCs w:val="18"/>
              </w:rPr>
              <w:t xml:space="preserve">Current Software Used</w:t>
            </w:r>
          </w:p>
          <w:p>
            <w:pPr>
              <w:spacing w:after="30"/>
            </w:pPr>
            <w:r>
              <w:rPr>
                <w:rFonts w:ascii="Arial" w:cs="Arial" w:eastAsia="Arial" w:hAnsi="Arial"/>
                <w:sz w:val="18"/>
                <w:szCs w:val="18"/>
              </w:rPr>
              <w:t xml:space="preserve">Special Requirements (free text)</w:t>
            </w:r>
          </w:p>
          <w:p>
            <w:pPr>
              <w:spacing w:after="30"/>
            </w:pPr>
            <w:r>
              <w:rPr>
                <w:rFonts w:ascii="Arial" w:cs="Arial" w:eastAsia="Arial" w:hAnsi="Arial"/>
                <w:sz w:val="18"/>
                <w:szCs w:val="18"/>
              </w:rPr>
              <w:t xml:space="preserve">3 Issues You Hope to Solve (free text)</w:t>
            </w:r>
          </w:p>
        </w:tc>
        <w:tc>
          <w:tcPr>
            <w:tcW w:type="dxa" w:w="4680"/>
            <w:tcBorders>
              <w:top w:val="single" w:color="CCCCCC" w:sz="4"/>
              <w:left w:val="single" w:color="CCCCCC" w:sz="4"/>
              <w:bottom w:val="single" w:color="CCCCCC" w:sz="4"/>
              <w:right w:val="single" w:color="CCCCCC" w:sz="4"/>
            </w:tcBorders>
            <w:shd w:fill="EBF3E8" w:val="clear"/>
            <w:tcMar>
              <w:top w:type="dxa" w:w="80"/>
              <w:left w:type="dxa" w:w="120"/>
              <w:bottom w:type="dxa" w:w="80"/>
              <w:right w:type="dxa" w:w="120"/>
            </w:tcMar>
          </w:tcPr>
          <w:p>
            <w:pPr>
              <w:spacing w:after="30"/>
            </w:pPr>
            <w:r>
              <w:rPr>
                <w:rFonts w:ascii="Arial" w:cs="Arial" w:eastAsia="Arial" w:hAnsi="Arial"/>
                <w:b/>
                <w:bCs/>
                <w:color w:val="375623"/>
                <w:sz w:val="18"/>
                <w:szCs w:val="18"/>
              </w:rPr>
              <w:t xml:space="preserve">MANDATORY:</w:t>
            </w:r>
          </w:p>
          <w:p>
            <w:pPr>
              <w:spacing w:after="30"/>
            </w:pPr>
            <w:r>
              <w:rPr>
                <w:rFonts w:ascii="Arial" w:cs="Arial" w:eastAsia="Arial" w:hAnsi="Arial"/>
                <w:sz w:val="18"/>
                <w:szCs w:val="18"/>
              </w:rPr>
              <w:t xml:space="preserve">Property Name</w:t>
            </w:r>
          </w:p>
          <w:p>
            <w:pPr>
              <w:spacing w:after="30"/>
            </w:pPr>
            <w:r>
              <w:rPr>
                <w:rFonts w:ascii="Arial" w:cs="Arial" w:eastAsia="Arial" w:hAnsi="Arial"/>
                <w:sz w:val="18"/>
                <w:szCs w:val="18"/>
              </w:rPr>
              <w:t xml:space="preserve">Property Type (Condo / HOA)</w:t>
            </w:r>
          </w:p>
          <w:p>
            <w:pPr>
              <w:spacing w:after="30"/>
            </w:pPr>
            <w:r>
              <w:rPr>
                <w:rFonts w:ascii="Arial" w:cs="Arial" w:eastAsia="Arial" w:hAnsi="Arial"/>
                <w:sz w:val="18"/>
                <w:szCs w:val="18"/>
              </w:rPr>
              <w:t xml:space="preserve">State + Zip Code (zip moved to Step 1 alongside city/state)</w:t>
            </w:r>
          </w:p>
          <w:p>
            <w:pPr>
              <w:spacing w:after="30"/>
            </w:pPr>
            <w:r>
              <w:rPr>
                <w:rFonts w:ascii="Arial" w:cs="Arial" w:eastAsia="Arial" w:hAnsi="Arial"/>
                <w:sz w:val="18"/>
                <w:szCs w:val="18"/>
              </w:rPr>
              <w:t xml:space="preserve"># of Homes / Units</w:t>
            </w:r>
          </w:p>
          <w:p>
            <w:pPr>
              <w:spacing w:after="30"/>
            </w:pPr>
            <w:r>
              <w:rPr>
                <w:rFonts w:ascii="Arial" w:cs="Arial" w:eastAsia="Arial" w:hAnsi="Arial"/>
                <w:sz w:val="18"/>
                <w:szCs w:val="18"/>
              </w:rPr>
              <w:t xml:space="preserve">Separate finances by building/phase? If yes, how many? (Cost Centers)</w:t>
            </w:r>
          </w:p>
          <w:p>
            <w:pPr>
              <w:spacing w:after="30"/>
            </w:pPr>
            <w:r>
              <w:rPr>
                <w:rFonts w:ascii="Arial" w:cs="Arial" w:eastAsia="Arial" w:hAnsi="Arial"/>
                <w:sz w:val="18"/>
                <w:szCs w:val="18"/>
              </w:rPr>
              <w:t xml:space="preserve">Dues Collection Frequency (dropdown)</w:t>
            </w:r>
          </w:p>
          <w:p>
            <w:pPr>
              <w:spacing w:after="30"/>
            </w:pPr>
            <w:r>
              <w:rPr>
                <w:rFonts w:ascii="Arial" w:cs="Arial" w:eastAsia="Arial" w:hAnsi="Arial"/>
                <w:sz w:val="18"/>
                <w:szCs w:val="18"/>
              </w:rPr>
              <w:t xml:space="preserve"># of Bank Accounts (dropdown)</w:t>
            </w:r>
          </w:p>
          <w:p>
            <w:pPr>
              <w:spacing w:after="30"/>
            </w:pPr>
            <w:r>
              <w:rPr>
                <w:rFonts w:ascii="Arial" w:cs="Arial" w:eastAsia="Arial" w:hAnsi="Arial"/>
                <w:sz w:val="18"/>
                <w:szCs w:val="18"/>
              </w:rPr>
              <w:t xml:space="preserve">Investment Accounts + CDs combined: ‘Any investment accounts or CDs?’</w:t>
            </w:r>
          </w:p>
          <w:p>
            <w:pPr>
              <w:spacing w:after="30"/>
            </w:pPr>
            <w:r>
              <w:rPr>
                <w:rFonts w:ascii="Arial" w:cs="Arial" w:eastAsia="Arial" w:hAnsi="Arial"/>
                <w:sz w:val="18"/>
                <w:szCs w:val="18"/>
              </w:rPr>
              <w:t xml:space="preserve"># of Existing Loans</w:t>
            </w:r>
          </w:p>
          <w:p>
            <w:pPr>
              <w:spacing w:after="30"/>
            </w:pPr>
            <w:r>
              <w:rPr>
                <w:rFonts w:ascii="Arial" w:cs="Arial" w:eastAsia="Arial" w:hAnsi="Arial"/>
                <w:sz w:val="18"/>
                <w:szCs w:val="18"/>
              </w:rPr>
              <w:t xml:space="preserve"># of Credit/Debit Cards</w:t>
            </w:r>
          </w:p>
          <w:p>
            <w:pPr>
              <w:spacing w:after="30"/>
            </w:pPr>
            <w:r>
              <w:rPr>
                <w:rFonts w:ascii="Arial" w:cs="Arial" w:eastAsia="Arial" w:hAnsi="Arial"/>
                <w:sz w:val="18"/>
                <w:szCs w:val="18"/>
              </w:rPr>
              <w:t xml:space="preserve">Active or planned special assessment? (checkbox)</w:t>
            </w:r>
          </w:p>
          <w:p>
            <w:pPr>
              <w:spacing w:after="30"/>
            </w:pPr>
            <w:r>
              <w:rPr>
                <w:rFonts w:ascii="Arial" w:cs="Arial" w:eastAsia="Arial" w:hAnsi="Arial"/>
                <w:sz w:val="18"/>
                <w:szCs w:val="18"/>
              </w:rPr>
              <w:t xml:space="preserve">Date of Last Professional Financial Report</w:t>
            </w:r>
          </w:p>
          <w:p>
            <w:pPr>
              <w:spacing w:after="30" w:before="80"/>
            </w:pPr>
            <w:r>
              <w:rPr>
                <w:rFonts w:ascii="Arial" w:cs="Arial" w:eastAsia="Arial" w:hAnsi="Arial"/>
                <w:b/>
                <w:bCs/>
                <w:color w:val="843C0C"/>
                <w:sz w:val="18"/>
                <w:szCs w:val="18"/>
              </w:rPr>
              <w:t xml:space="preserve">OPTIONAL (help us be more precise):</w:t>
            </w:r>
          </w:p>
          <w:p>
            <w:pPr>
              <w:spacing w:after="30"/>
            </w:pPr>
            <w:r>
              <w:rPr>
                <w:rFonts w:ascii="Arial" w:cs="Arial" w:eastAsia="Arial" w:hAnsi="Arial"/>
                <w:sz w:val="18"/>
                <w:szCs w:val="18"/>
              </w:rPr>
              <w:t xml:space="preserve">Avg Dues Per Unit / Month</w:t>
            </w:r>
          </w:p>
          <w:p>
            <w:pPr>
              <w:spacing w:after="30"/>
            </w:pPr>
            <w:r>
              <w:rPr>
                <w:rFonts w:ascii="Arial" w:cs="Arial" w:eastAsia="Arial" w:hAnsi="Arial"/>
                <w:sz w:val="18"/>
                <w:szCs w:val="18"/>
              </w:rPr>
              <w:t xml:space="preserve">Any W-2 Employees? (Y/N gate — show number only if Yes)</w:t>
            </w:r>
          </w:p>
          <w:p>
            <w:pPr>
              <w:spacing w:after="30"/>
            </w:pPr>
            <w:r>
              <w:rPr>
                <w:rFonts w:ascii="Arial" w:cs="Arial" w:eastAsia="Arial" w:hAnsi="Arial"/>
                <w:sz w:val="18"/>
                <w:szCs w:val="18"/>
              </w:rPr>
              <w:t xml:space="preserve">Is delinquency a current challenge? (checkbox)</w:t>
            </w:r>
          </w:p>
          <w:p>
            <w:pPr>
              <w:spacing w:after="30" w:before="80"/>
            </w:pPr>
            <w:r>
              <w:rPr>
                <w:rFonts w:ascii="Arial" w:cs="Arial" w:eastAsia="Arial" w:hAnsi="Arial"/>
                <w:b/>
                <w:bCs/>
                <w:color w:val="0D4F4F"/>
                <w:sz w:val="18"/>
                <w:szCs w:val="18"/>
              </w:rPr>
              <w:t xml:space="preserve">INTERNAL ONLY (not visible to prospect):</w:t>
            </w:r>
          </w:p>
          <w:p>
            <w:pPr>
              <w:spacing w:after="30"/>
            </w:pPr>
            <w:r>
              <w:rPr>
                <w:rFonts w:ascii="Arial" w:cs="Arial" w:eastAsia="Arial" w:hAnsi="Arial"/>
                <w:i/>
                <w:iCs/>
                <w:sz w:val="18"/>
                <w:szCs w:val="18"/>
              </w:rPr>
              <w:t xml:space="preserve">TIC / Commercial Condo flag — identified from community name in pricing software</w:t>
            </w:r>
          </w:p>
          <w:p>
            <w:pPr>
              <w:spacing w:after="30"/>
            </w:pPr>
            <w:r>
              <w:rPr>
                <w:rFonts w:ascii="Arial" w:cs="Arial" w:eastAsia="Arial" w:hAnsi="Arial"/>
                <w:i/>
                <w:iCs/>
                <w:sz w:val="18"/>
                <w:szCs w:val="18"/>
              </w:rPr>
              <w:t xml:space="preserve">PCI multiplier — auto-derived from zip code</w:t>
            </w:r>
          </w:p>
          <w:p>
            <w:pPr>
              <w:spacing w:after="30"/>
            </w:pPr>
            <w:r>
              <w:rPr>
                <w:rFonts w:ascii="Arial" w:cs="Arial" w:eastAsia="Arial" w:hAnsi="Arial"/>
                <w:i/>
                <w:iCs/>
                <w:sz w:val="18"/>
                <w:szCs w:val="18"/>
              </w:rPr>
              <w:t xml:space="preserve">Self-Managed flag — derived from Step 1</w:t>
            </w:r>
          </w:p>
        </w:tc>
      </w:tr>
    </w:tbl>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Detailed Field-by-Field Analysis</w:t>
      </w:r>
    </w:p>
    <w:p>
      <w:pPr>
        <w:spacing w:after="80" w:before="60"/>
      </w:pPr>
      <w:r>
        <w:rPr>
          <w:rFonts w:ascii="Arial" w:cs="Arial" w:eastAsia="Arial" w:hAnsi="Arial"/>
          <w:sz w:val="20"/>
          <w:szCs w:val="20"/>
        </w:rPr>
        <w:t xml:space="preserve">Color coding: Green = Keep/Mandatory — Yellow = Rephrase &amp; Keep — Orange = Optional — Teal = Internal software only — Purple = Auto-derive — Red = Remove</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400"/>
        <w:gridCol w:w="1760"/>
        <w:gridCol w:w="4000"/>
      </w:tblGrid>
      <w:tr>
        <w:trPr>
          <w:tblHeader/>
        </w:trPr>
        <w:tc>
          <w:tcPr>
            <w:tcW w:type="dxa" w:w="22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RFQ Field</w:t>
            </w:r>
          </w:p>
        </w:tc>
        <w:tc>
          <w:tcPr>
            <w:tcW w:type="dxa" w:w="14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Verdict</w:t>
            </w:r>
          </w:p>
        </w:tc>
        <w:tc>
          <w:tcPr>
            <w:tcW w:type="dxa" w:w="176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Price Impact</w:t>
            </w:r>
          </w:p>
        </w:tc>
        <w:tc>
          <w:tcPr>
            <w:tcW w:type="dxa" w:w="40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Rationale / Notes</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 of Homes / Units</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Core — drives base price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Single most important pricing variable. Everyone knows this. Non-negotiable.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Property Type (Condo/HOA)</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Core — drives base price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Combined with unit count in the tier table. Condos priced higher than HOAs. Non-negotiable.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Property Name</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None (identification)</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Required to identify the community. Every prospect knows this instantly.</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State + Zip Code</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Add zip to Step 1</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Regulatory context; PCI derived from zip</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City/State already in Step 1 for cover letter. Add Zip to Step 1 to auto-derive PCI multiplier (±15%). Never expose PCI logic to prospect.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Cost Centers</w:t>
            </w:r>
          </w:p>
        </w:tc>
        <w:tc>
          <w:tcPr>
            <w:tcW w:type="dxa" w:w="1400"/>
            <w:tcBorders>
              <w:top w:val="single" w:color="CCCCCC" w:sz="4"/>
              <w:left w:val="single" w:color="CCCCCC" w:sz="4"/>
              <w:bottom w:val="single" w:color="CCCCCC" w:sz="4"/>
              <w:right w:val="single" w:color="CCCCCC" w:sz="4"/>
            </w:tcBorders>
            <w:shd w:fill="FFF2CC" w:val="clear"/>
            <w:tcMar>
              <w:top w:type="dxa" w:w="80"/>
              <w:left w:type="dxa" w:w="120"/>
              <w:bottom w:type="dxa" w:w="80"/>
              <w:right w:type="dxa" w:w="120"/>
            </w:tcMar>
          </w:tcPr>
          <w:p>
            <w:r>
              <w:rPr>
                <w:rFonts w:ascii="Arial" w:cs="Arial" w:eastAsia="Arial" w:hAnsi="Arial"/>
                <w:b/>
                <w:bCs/>
                <w:color w:val="7F6000"/>
                <w:sz w:val="17"/>
                <w:szCs w:val="17"/>
              </w:rPr>
              <w:t xml:space="preserve">REPHRASE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$1,500–$21,900 adder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Highest adder on form. Rephrase to: ‘Does your community track finances separately for different buildings or phases? If yes, how many?’</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Dues Collection Frequency</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0.70–1.0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Russell + 4 Sr. Leaders voted mandatory. Meaningful price impact; most prospects know their billing cycle instantly.</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 of Bank Accounts</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$360/account over 2</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mandatory. Direct pricing impact; easy for board members to answer.</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Investment Accounts + CDs</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 (combined)</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$900/investment acct; $200/CD</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to keep. Combined into single question: ‘Any investment accounts or CDs? If yes, how many of each?’ Reduces two line items to one.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 of Existing Loans</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$720/loan</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to keep. Direct pricing impact; board members generally know their loan count.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 of Credit/Debit Cards</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$1,140/card</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to keep. Highest per-item adder; important to capture even though rare.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Special Assessment</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Checkbox only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Premium feature context</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to keep. Rephrase to: ‘Active or planned special assessment?’ checkbox. Numeric count not needed — billing is a Premium feature auto-calculated from unit count.</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Date of Last Financial Report</w:t>
            </w:r>
          </w:p>
        </w:tc>
        <w:tc>
          <w:tcPr>
            <w:tcW w:type="dxa" w:w="1400"/>
            <w:tcBorders>
              <w:top w:val="single" w:color="CCCCCC" w:sz="4"/>
              <w:left w:val="single" w:color="CCCCCC" w:sz="4"/>
              <w:bottom w:val="single" w:color="CCCCCC" w:sz="4"/>
              <w:right w:val="single" w:color="CCCCCC" w:sz="4"/>
            </w:tcBorders>
            <w:shd w:fill="E2EFDA" w:val="clear"/>
            <w:tcMar>
              <w:top w:type="dxa" w:w="80"/>
              <w:left w:type="dxa" w:w="120"/>
              <w:bottom w:type="dxa" w:w="80"/>
              <w:right w:type="dxa" w:w="120"/>
            </w:tcMar>
          </w:tcPr>
          <w:p>
            <w:r>
              <w:rPr>
                <w:rFonts w:ascii="Arial" w:cs="Arial" w:eastAsia="Arial" w:hAnsi="Arial"/>
                <w:b/>
                <w:bCs/>
                <w:color w:val="375623"/>
                <w:sz w:val="17"/>
                <w:szCs w:val="17"/>
              </w:rPr>
              <w:t xml:space="preserve">KEEP — Mandatory</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Rebuild/cleanup assessment</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voted to keep. Helps determine if books require reconstruction or cleanup prior to onboarding.</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Avg Dues Per Unit / Month</w:t>
            </w:r>
          </w:p>
        </w:tc>
        <w:tc>
          <w:tcPr>
            <w:tcW w:type="dxa" w:w="1400"/>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r>
              <w:rPr>
                <w:rFonts w:ascii="Arial" w:cs="Arial" w:eastAsia="Arial" w:hAnsi="Arial"/>
                <w:b/>
                <w:bCs/>
                <w:color w:val="843C0C"/>
                <w:sz w:val="17"/>
                <w:szCs w:val="17"/>
              </w:rPr>
              <w:t xml:space="preserve">OPTIONAL</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0.90–1.10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4 Sr. Leaders voted remove; Russell uses for budget-based pricing. Compromise: optional with helper text. Captured on follow-up call if blank.</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Employees on Payroll</w:t>
            </w:r>
          </w:p>
        </w:tc>
        <w:tc>
          <w:tcPr>
            <w:tcW w:type="dxa" w:w="1400"/>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r>
              <w:rPr>
                <w:rFonts w:ascii="Arial" w:cs="Arial" w:eastAsia="Arial" w:hAnsi="Arial"/>
                <w:b/>
                <w:bCs/>
                <w:color w:val="843C0C"/>
                <w:sz w:val="17"/>
                <w:szCs w:val="17"/>
              </w:rPr>
              <w:t xml:space="preserve">OPTIONAL (Y/N gate)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$300/employee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˜90% of prospects have zero. Show number field only if ‘Yes’. Minimal friction.</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Is delinquency a challenge?</w:t>
            </w:r>
          </w:p>
        </w:tc>
        <w:tc>
          <w:tcPr>
            <w:tcW w:type="dxa" w:w="1400"/>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r>
              <w:rPr>
                <w:rFonts w:ascii="Arial" w:cs="Arial" w:eastAsia="Arial" w:hAnsi="Arial"/>
                <w:b/>
                <w:bCs/>
                <w:color w:val="843C0C"/>
                <w:sz w:val="17"/>
                <w:szCs w:val="17"/>
              </w:rPr>
              <w:t xml:space="preserve">OPTIONAL — New checkbox</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None (sales trigger)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Replaces # Homes Delinquent field. If checked, sales assistant attaches delinquency tools sell sheet. No pricing impact but high sales value.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TIC / Commercial Condo</w:t>
            </w:r>
          </w:p>
        </w:tc>
        <w:tc>
          <w:tcPr>
            <w:tcW w:type="dxa" w:w="1400"/>
            <w:tcBorders>
              <w:top w:val="single" w:color="CCCCCC" w:sz="4"/>
              <w:left w:val="single" w:color="CCCCCC" w:sz="4"/>
              <w:bottom w:val="single" w:color="CCCCCC" w:sz="4"/>
              <w:right w:val="single" w:color="CCCCCC" w:sz="4"/>
            </w:tcBorders>
            <w:shd w:fill="D5F0F0" w:val="clear"/>
            <w:tcMar>
              <w:top w:type="dxa" w:w="80"/>
              <w:left w:type="dxa" w:w="120"/>
              <w:bottom w:type="dxa" w:w="80"/>
              <w:right w:type="dxa" w:w="120"/>
            </w:tcMar>
          </w:tcPr>
          <w:p>
            <w:r>
              <w:rPr>
                <w:rFonts w:ascii="Arial" w:cs="Arial" w:eastAsia="Arial" w:hAnsi="Arial"/>
                <w:b/>
                <w:bCs/>
                <w:color w:val="0D4F4F"/>
                <w:sz w:val="17"/>
                <w:szCs w:val="17"/>
              </w:rPr>
              <w:t xml:space="preserve">INTERNAL — Pricing software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Potential upcharge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Identified from community name in the pricing software by the pricing team. Never customer-facing. Not on RFQ form.</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Community Location (PCI)</w:t>
            </w:r>
          </w:p>
        </w:tc>
        <w:tc>
          <w:tcPr>
            <w:tcW w:type="dxa" w:w="1400"/>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r>
              <w:rPr>
                <w:rFonts w:ascii="Arial" w:cs="Arial" w:eastAsia="Arial" w:hAnsi="Arial"/>
                <w:b/>
                <w:bCs/>
                <w:color w:val="4A235A"/>
                <w:sz w:val="17"/>
                <w:szCs w:val="17"/>
              </w:rPr>
              <w:t xml:space="preserve">REMOVE — Auto-derive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0.85–1.10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Derived from zip code in Step 1. Never customer-facing — would reveal pricing logic.</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Self-Managed?</w:t>
            </w:r>
          </w:p>
        </w:tc>
        <w:tc>
          <w:tcPr>
            <w:tcW w:type="dxa" w:w="1400"/>
            <w:tcBorders>
              <w:top w:val="single" w:color="CCCCCC" w:sz="4"/>
              <w:left w:val="single" w:color="CCCCCC" w:sz="4"/>
              <w:bottom w:val="single" w:color="CCCCCC" w:sz="4"/>
              <w:right w:val="single" w:color="CCCCCC" w:sz="4"/>
            </w:tcBorders>
            <w:shd w:fill="EAD1DC" w:val="clear"/>
            <w:tcMar>
              <w:top w:type="dxa" w:w="80"/>
              <w:left w:type="dxa" w:w="120"/>
              <w:bottom w:type="dxa" w:w="80"/>
              <w:right w:type="dxa" w:w="120"/>
            </w:tcMar>
          </w:tcPr>
          <w:p>
            <w:r>
              <w:rPr>
                <w:rFonts w:ascii="Arial" w:cs="Arial" w:eastAsia="Arial" w:hAnsi="Arial"/>
                <w:b/>
                <w:bCs/>
                <w:color w:val="4A235A"/>
                <w:sz w:val="17"/>
                <w:szCs w:val="17"/>
              </w:rPr>
              <w:t xml:space="preserve">REMOVE — Auto-derive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0.90–1.0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Already captured in Step 1 ‘How Currently Managed’ dropdown. Duplicate question.</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Avg # Vendor Bills / Month</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$30/bill over 25</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3 Sr. Leaders voted remove. Most board members don’t know. Default 0 (assumes ≤25). Recover on follow-up call.</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Current Software Used</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None (sales context)</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Sr. Leaders agreed: no pricing impact. Sales asks on first call for Smartwebs conflict check and transition positioning.</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Cash Flow Issues</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1.20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Nobody self-reports on a form. Sensitive and alarming. Sales discovers organically during the call.</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Financial Report Quality</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1.0–1.15 multiplier</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Prospects cannot objectively self-assess. Internal team evaluates during onboarding review.</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Community Size / Complexity</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Covered elsewhere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5 Sr. Leaders: size covered by # of units; complexity covered by cost centers. TIC/Commercial Condo flagged internally in pricing software from community name.</w:t>
            </w:r>
          </w:p>
        </w:tc>
      </w:tr>
      <w:tr>
        <w:tc>
          <w:tcPr>
            <w:tcW w:type="dxa" w:w="22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b/>
                <w:bCs/>
                <w:sz w:val="18"/>
                <w:szCs w:val="18"/>
              </w:rPr>
              <w:t xml:space="preserve"># Homes Delinquent &gt;60 Days</w:t>
            </w:r>
          </w:p>
        </w:tc>
        <w:tc>
          <w:tcPr>
            <w:tcW w:type="dxa" w:w="1400"/>
            <w:tcBorders>
              <w:top w:val="single" w:color="CCCCCC" w:sz="4"/>
              <w:left w:val="single" w:color="CCCCCC" w:sz="4"/>
              <w:bottom w:val="single" w:color="CCCCCC" w:sz="4"/>
              <w:right w:val="single" w:color="CCCCCC" w:sz="4"/>
            </w:tcBorders>
            <w:shd w:fill="FFDEDE" w:val="clear"/>
            <w:tcMar>
              <w:top w:type="dxa" w:w="80"/>
              <w:left w:type="dxa" w:w="120"/>
              <w:bottom w:type="dxa" w:w="80"/>
              <w:right w:type="dxa" w:w="120"/>
            </w:tcMar>
          </w:tcPr>
          <w:p>
            <w:r>
              <w:rPr>
                <w:rFonts w:ascii="Arial" w:cs="Arial" w:eastAsia="Arial" w:hAnsi="Arial"/>
                <w:b/>
                <w:bCs/>
                <w:color w:val="7B0000"/>
                <w:sz w:val="17"/>
                <w:szCs w:val="17"/>
              </w:rPr>
              <w:t xml:space="preserve">REMOVE</w:t>
            </w:r>
          </w:p>
        </w:tc>
        <w:tc>
          <w:tcPr>
            <w:tcW w:type="dxa" w:w="1760"/>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r>
              <w:rPr>
                <w:rFonts w:ascii="Arial" w:cs="Arial" w:eastAsia="Arial" w:hAnsi="Arial"/>
                <w:sz w:val="17"/>
                <w:szCs w:val="17"/>
              </w:rPr>
              <w:t xml:space="preserve">None</w:t>
            </w:r>
          </w:p>
        </w:tc>
        <w:tc>
          <w:tcPr>
            <w:tcW w:type="dxa" w:w="4000"/>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r>
              <w:rPr>
                <w:rFonts w:ascii="Arial" w:cs="Arial" w:eastAsia="Arial" w:hAnsi="Arial"/>
                <w:sz w:val="17"/>
                <w:szCs w:val="17"/>
              </w:rPr>
              <w:t xml:space="preserve">4 Sr. Leaders voted remove. No pricing impact. Replaced by delinquency challenge checkbox for sales triggering.</w:t>
            </w:r>
          </w:p>
        </w:tc>
      </w:tr>
    </w:tbl>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Risk Assessment: Quote Accuracy</w:t>
      </w:r>
    </w:p>
    <w:p>
      <w:pPr>
        <w:spacing w:after="80" w:before="60"/>
      </w:pPr>
      <w:r>
        <w:rPr>
          <w:rFonts w:ascii="Arial" w:cs="Arial" w:eastAsia="Arial" w:hAnsi="Arial"/>
          <w:sz w:val="20"/>
          <w:szCs w:val="20"/>
        </w:rPr>
        <w:t xml:space="preserve">The primary concern with simplifying the form is underquoting. Here is the updated analysis given the final field decisions:</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Fields That Default to $0 (Risk: Underquoting)</w:t>
      </w:r>
    </w:p>
    <w:p>
      <w:pPr>
        <w:spacing w:after="80" w:before="60"/>
      </w:pPr>
      <w:r>
        <w:rPr>
          <w:rFonts w:ascii="Arial" w:cs="Arial" w:eastAsia="Arial" w:hAnsi="Arial"/>
          <w:sz w:val="20"/>
          <w:szCs w:val="20"/>
        </w:rPr>
        <w:t xml:space="preserve">Flat adders removed from the form (vendor bills over 25) default to zero. The quote will be slightly lower than fully-loaded prices, which is a better position than overquoting: the prospect enters the pipeline with an attractive price and adjustments can be justified on the follow-up call.</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Fields That Default to 1.0 (Risk: Neutral)</w:t>
      </w:r>
    </w:p>
    <w:p>
      <w:pPr>
        <w:spacing w:after="80" w:before="60"/>
      </w:pPr>
      <w:r>
        <w:rPr>
          <w:rFonts w:ascii="Arial" w:cs="Arial" w:eastAsia="Arial" w:hAnsi="Arial"/>
          <w:sz w:val="20"/>
          <w:szCs w:val="20"/>
        </w:rPr>
        <w:t xml:space="preserve">Multiplier fields recovered on the follow-up call (dues amount, cash flow) default to 1.0. Maximum exposure is ±10–20%, easily corrected before the proposal is sent.</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Fields Now Mandatory (Risk: Greatly Reduced)</w:t>
      </w:r>
    </w:p>
    <w:p>
      <w:pPr>
        <w:spacing w:after="80" w:before="60"/>
      </w:pPr>
      <w:r>
        <w:rPr>
          <w:rFonts w:ascii="Arial" w:cs="Arial" w:eastAsia="Arial" w:hAnsi="Arial"/>
          <w:sz w:val="20"/>
          <w:szCs w:val="20"/>
        </w:rPr>
        <w:t xml:space="preserve">The Sr. Leadership decision to keep investment accounts, loans, credit/debit cards, bank accounts, dues frequency, and special assessment checkbox as mandatory fields substantially reduces underquoting risk versus the original proposal. The most significant pricing variables are now captured directly on the form.</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The One Remaining Exception: Cost Centers</w:t>
      </w:r>
    </w:p>
    <w:p>
      <w:pPr>
        <w:spacing w:after="80" w:before="60"/>
      </w:pPr>
      <w:r>
        <w:rPr>
          <w:rFonts w:ascii="Arial" w:cs="Arial" w:eastAsia="Arial" w:hAnsi="Arial"/>
          <w:sz w:val="20"/>
          <w:szCs w:val="20"/>
        </w:rPr>
        <w:t xml:space="preserve">Cost centers can add up to $21,900 and default to $0. This field remains mandatory but is rephrased in plain language: ‘Does your community track finances separately for different buildings or phases?’ The Yes/No gate before asking for count minimizes friction while ensuring this critical data is never missed.</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Form UX Improvements</w:t>
      </w:r>
    </w:p>
    <w:p>
      <w:pPr>
        <w:spacing w:after="40" w:before="40"/>
      </w:pPr>
      <w:r>
        <w:t xml:space="preserve"/>
      </w:r>
    </w:p>
    <w:p>
      <w:pPr>
        <w:pStyle w:val="ListParagraph"/>
        <w:numPr>
          <w:ilvl w:val="0"/>
          <w:numId w:val="2"/>
        </w:numPr>
        <w:spacing w:after="60" w:before="60"/>
      </w:pPr>
      <w:r>
        <w:rPr>
          <w:rFonts w:ascii="Arial" w:cs="Arial" w:eastAsia="Arial" w:hAnsi="Arial"/>
          <w:sz w:val="20"/>
          <w:szCs w:val="20"/>
        </w:rPr>
        <w:t xml:space="preserve">Change the completion counter from ‘0 of 29’ to a progress bar or remove it entirely. Showing 29 total fields is psychologically daunting before the prospect even begins.</w:t>
      </w:r>
    </w:p>
    <w:p>
      <w:pPr>
        <w:pStyle w:val="ListParagraph"/>
        <w:numPr>
          <w:ilvl w:val="0"/>
          <w:numId w:val="2"/>
        </w:numPr>
        <w:spacing w:after="60" w:before="60"/>
      </w:pPr>
      <w:r>
        <w:rPr>
          <w:rFonts w:ascii="Arial" w:cs="Arial" w:eastAsia="Arial" w:hAnsi="Arial"/>
          <w:sz w:val="20"/>
          <w:szCs w:val="20"/>
        </w:rPr>
        <w:t xml:space="preserve">Use conditional logic: ‘Do you have W-2 employees?’ (Yes/No) — only show the number field if Yes. Same for Cost Centers: ‘Do you track finances separately by building/phase?’ (Yes/No gate before asking for count).</w:t>
      </w:r>
    </w:p>
    <w:p>
      <w:pPr>
        <w:pStyle w:val="ListParagraph"/>
        <w:numPr>
          <w:ilvl w:val="0"/>
          <w:numId w:val="2"/>
        </w:numPr>
        <w:spacing w:after="60" w:before="60"/>
      </w:pPr>
      <w:r>
        <w:rPr>
          <w:rFonts w:ascii="Arial" w:cs="Arial" w:eastAsia="Arial" w:hAnsi="Arial"/>
          <w:sz w:val="20"/>
          <w:szCs w:val="20"/>
        </w:rPr>
        <w:t xml:space="preserve">Reframe optional fields with a section header: ‘Help us give you a more precise quote (optional)’ to signal that the form is essentially complete and these are bonus inputs.</w:t>
      </w:r>
    </w:p>
    <w:p>
      <w:pPr>
        <w:pStyle w:val="ListParagraph"/>
        <w:numPr>
          <w:ilvl w:val="0"/>
          <w:numId w:val="2"/>
        </w:numPr>
        <w:spacing w:after="60" w:before="60"/>
      </w:pPr>
      <w:r>
        <w:rPr>
          <w:rFonts w:ascii="Arial" w:cs="Arial" w:eastAsia="Arial" w:hAnsi="Arial"/>
          <w:sz w:val="20"/>
          <w:szCs w:val="20"/>
        </w:rPr>
        <w:t xml:space="preserve">Replace the two free-text boxes (‘Special Requirements’ and ‘3 Issues’) with a single multi-select checklist of common pain points. Checkboxes take 5 seconds; writing paragraphs takes 5 minutes.</w:t>
      </w:r>
    </w:p>
    <w:p>
      <w:pPr>
        <w:pStyle w:val="ListParagraph"/>
        <w:numPr>
          <w:ilvl w:val="0"/>
          <w:numId w:val="2"/>
        </w:numPr>
        <w:spacing w:after="60" w:before="60"/>
      </w:pPr>
      <w:r>
        <w:rPr>
          <w:rFonts w:ascii="Arial" w:cs="Arial" w:eastAsia="Arial" w:hAnsi="Arial"/>
          <w:sz w:val="20"/>
          <w:szCs w:val="20"/>
        </w:rPr>
        <w:t xml:space="preserve">Investment Accounts and CDs: Combine into a single question — ‘Does your community have any investment accounts or certificates of deposit (CDs)? If yes, how many of each?’ Reduces two line items to one.</w:t>
      </w:r>
    </w:p>
    <w:p>
      <w:pPr>
        <w:pStyle w:val="ListParagraph"/>
        <w:numPr>
          <w:ilvl w:val="0"/>
          <w:numId w:val="2"/>
        </w:numPr>
        <w:spacing w:after="60" w:before="60"/>
      </w:pPr>
      <w:r>
        <w:rPr>
          <w:rFonts w:ascii="Arial" w:cs="Arial" w:eastAsia="Arial" w:hAnsi="Arial"/>
          <w:sz w:val="20"/>
          <w:szCs w:val="20"/>
        </w:rPr>
        <w:t xml:space="preserve">Special Assessment: Convert from numeric field to a simple checkbox — ‘Active or planned special assessment?’ Numeric count is not needed for pricing; the checkbox is sufficient to flag Premium service relevance.</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Sales Process Adjustments</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1. Software Discovery on First Contact Call</w:t>
      </w:r>
    </w:p>
    <w:p>
      <w:pPr>
        <w:spacing w:after="80" w:before="60"/>
      </w:pPr>
      <w:r>
        <w:rPr>
          <w:rFonts w:ascii="Arial" w:cs="Arial" w:eastAsia="Arial" w:hAnsi="Arial"/>
          <w:sz w:val="20"/>
          <w:szCs w:val="20"/>
        </w:rPr>
        <w:t xml:space="preserve">Current software is no longer on the RFQ form. Sales should ask about software early in the first call for two reasons:</w:t>
      </w:r>
    </w:p>
    <w:p>
      <w:pPr>
        <w:pStyle w:val="ListParagraph"/>
        <w:numPr>
          <w:ilvl w:val="0"/>
          <w:numId w:val="3"/>
        </w:numPr>
        <w:spacing w:after="40" w:before="40"/>
      </w:pPr>
      <w:r>
        <w:rPr>
          <w:rFonts w:ascii="Arial" w:cs="Arial" w:eastAsia="Arial" w:hAnsi="Arial"/>
          <w:sz w:val="20"/>
          <w:szCs w:val="20"/>
        </w:rPr>
        <w:t xml:space="preserve">Smartwebs conflict check: Low probability since CF has few accounting software customers, but must be identified immediately to avoid quoting a prospect already on Smartwebs.</w:t>
      </w:r>
    </w:p>
    <w:p>
      <w:pPr>
        <w:pStyle w:val="ListParagraph"/>
        <w:numPr>
          <w:ilvl w:val="0"/>
          <w:numId w:val="3"/>
        </w:numPr>
        <w:spacing w:after="40" w:before="40"/>
      </w:pPr>
      <w:r>
        <w:rPr>
          <w:rFonts w:ascii="Arial" w:cs="Arial" w:eastAsia="Arial" w:hAnsi="Arial"/>
          <w:sz w:val="20"/>
          <w:szCs w:val="20"/>
        </w:rPr>
        <w:t xml:space="preserve">Transition positioning: Knowing the current platform (TOPS, Enumerate, Appfolio, QuickBooks, etc.) allows the rep to speak to migration support and data conversion advantages.</w:t>
      </w:r>
    </w:p>
    <w:p>
      <w:pPr>
        <w:pStyle w:val="ListParagraph"/>
        <w:numPr>
          <w:ilvl w:val="0"/>
          <w:numId w:val="3"/>
        </w:numPr>
        <w:spacing w:after="40" w:before="40"/>
      </w:pPr>
      <w:r>
        <w:rPr>
          <w:rFonts w:ascii="Arial" w:cs="Arial" w:eastAsia="Arial" w:hAnsi="Arial"/>
          <w:sz w:val="20"/>
          <w:szCs w:val="20"/>
        </w:rPr>
        <w:t xml:space="preserve">Script: ‘What software is your community currently using to manage the finances, and who’s been handling the day-to-day bookkeeping?’</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2. Delinquency Sell Sheet Trigger</w:t>
      </w:r>
    </w:p>
    <w:p>
      <w:pPr>
        <w:spacing w:after="80" w:before="60"/>
      </w:pPr>
      <w:r>
        <w:rPr>
          <w:rFonts w:ascii="Arial" w:cs="Arial" w:eastAsia="Arial" w:hAnsi="Arial"/>
          <w:sz w:val="20"/>
          <w:szCs w:val="20"/>
        </w:rPr>
        <w:t xml:space="preserve">The delinquency checkbox on the updated form — and any delinquency language surfaced during the sales conversation — should automatically trigger the delinquency tools sell sheet in the sales assistant workflow.</w:t>
      </w:r>
    </w:p>
    <w:p>
      <w:pPr>
        <w:pStyle w:val="ListParagraph"/>
        <w:numPr>
          <w:ilvl w:val="0"/>
          <w:numId w:val="3"/>
        </w:numPr>
        <w:spacing w:after="40" w:before="40"/>
      </w:pPr>
      <w:r>
        <w:rPr>
          <w:rFonts w:ascii="Arial" w:cs="Arial" w:eastAsia="Arial" w:hAnsi="Arial"/>
          <w:sz w:val="20"/>
          <w:szCs w:val="20"/>
        </w:rPr>
        <w:t xml:space="preserve">If the prospect checks ‘Is delinquency a current challenge?’ on the RFQ, attach the delinquency tools one-pager to the quote package.</w:t>
      </w:r>
    </w:p>
    <w:p>
      <w:pPr>
        <w:pStyle w:val="ListParagraph"/>
        <w:numPr>
          <w:ilvl w:val="0"/>
          <w:numId w:val="3"/>
        </w:numPr>
        <w:spacing w:after="40" w:before="40"/>
      </w:pPr>
      <w:r>
        <w:rPr>
          <w:rFonts w:ascii="Arial" w:cs="Arial" w:eastAsia="Arial" w:hAnsi="Arial"/>
          <w:sz w:val="20"/>
          <w:szCs w:val="20"/>
        </w:rPr>
        <w:t xml:space="preserve">If the prospect mentions delinquencies or collection difficulties on the call, reference CF’s delinquency management tools and follow up with the sell sheet.</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3. Dues Amount Capture for Pricing Accuracy</w:t>
      </w:r>
    </w:p>
    <w:p>
      <w:pPr>
        <w:spacing w:after="80" w:before="60"/>
      </w:pPr>
      <w:r>
        <w:rPr>
          <w:rFonts w:ascii="Arial" w:cs="Arial" w:eastAsia="Arial" w:hAnsi="Arial"/>
          <w:sz w:val="20"/>
          <w:szCs w:val="20"/>
        </w:rPr>
        <w:t xml:space="preserve">Average dues per unit/month is optional on the form but drives a ±10% pricing multiplier and is used for budget-based pricing. Capture before the final proposal is issued.</w:t>
      </w:r>
    </w:p>
    <w:p>
      <w:pPr>
        <w:pStyle w:val="ListParagraph"/>
        <w:numPr>
          <w:ilvl w:val="0"/>
          <w:numId w:val="3"/>
        </w:numPr>
        <w:spacing w:after="40" w:before="40"/>
      </w:pPr>
      <w:r>
        <w:rPr>
          <w:rFonts w:ascii="Arial" w:cs="Arial" w:eastAsia="Arial" w:hAnsi="Arial"/>
          <w:sz w:val="20"/>
          <w:szCs w:val="20"/>
        </w:rPr>
        <w:t xml:space="preserve">If blank on the RFQ: ‘What are homeowners currently paying in monthly dues?’</w:t>
      </w:r>
    </w:p>
    <w:p>
      <w:pPr>
        <w:pStyle w:val="ListParagraph"/>
        <w:numPr>
          <w:ilvl w:val="0"/>
          <w:numId w:val="3"/>
        </w:numPr>
        <w:spacing w:after="40" w:before="40"/>
      </w:pPr>
      <w:r>
        <w:rPr>
          <w:rFonts w:ascii="Arial" w:cs="Arial" w:eastAsia="Arial" w:hAnsi="Arial"/>
          <w:sz w:val="20"/>
          <w:szCs w:val="20"/>
        </w:rPr>
        <w:t xml:space="preserve">For non-monthly billing: ‘What is the total annual assessment per home? We’ll calculate the monthly equivalent.’</w:t>
      </w:r>
    </w:p>
    <w:p>
      <w:pPr>
        <w:pStyle w:val="ListParagraph"/>
        <w:numPr>
          <w:ilvl w:val="0"/>
          <w:numId w:val="3"/>
        </w:numPr>
        <w:spacing w:after="40" w:before="40"/>
      </w:pPr>
      <w:r>
        <w:rPr>
          <w:rFonts w:ascii="Arial" w:cs="Arial" w:eastAsia="Arial" w:hAnsi="Arial"/>
          <w:sz w:val="20"/>
          <w:szCs w:val="20"/>
        </w:rPr>
        <w:t xml:space="preserve">Record in CRM and update the pricing tool before sending the proposal.</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4. Cash Flow and Financial Health Discovery</w:t>
      </w:r>
    </w:p>
    <w:p>
      <w:pPr>
        <w:spacing w:after="80" w:before="60"/>
      </w:pPr>
      <w:r>
        <w:rPr>
          <w:rFonts w:ascii="Arial" w:cs="Arial" w:eastAsia="Arial" w:hAnsi="Arial"/>
          <w:sz w:val="20"/>
          <w:szCs w:val="20"/>
        </w:rPr>
        <w:t xml:space="preserve">Cash flow issues (1.20 price multiplier) are off the form. Sales must surface this organically.</w:t>
      </w:r>
    </w:p>
    <w:p>
      <w:pPr>
        <w:pStyle w:val="ListParagraph"/>
        <w:numPr>
          <w:ilvl w:val="0"/>
          <w:numId w:val="3"/>
        </w:numPr>
        <w:spacing w:after="40" w:before="40"/>
      </w:pPr>
      <w:r>
        <w:rPr>
          <w:rFonts w:ascii="Arial" w:cs="Arial" w:eastAsia="Arial" w:hAnsi="Arial"/>
          <w:sz w:val="20"/>
          <w:szCs w:val="20"/>
        </w:rPr>
        <w:t xml:space="preserve">Listen for signals: ‘we’ve been slow paying vendors,’ ‘we’re behind on reserves,’ ‘homeowners aren’t paying on time.’</w:t>
      </w:r>
    </w:p>
    <w:p>
      <w:pPr>
        <w:pStyle w:val="ListParagraph"/>
        <w:numPr>
          <w:ilvl w:val="0"/>
          <w:numId w:val="3"/>
        </w:numPr>
        <w:spacing w:after="40" w:before="40"/>
      </w:pPr>
      <w:r>
        <w:rPr>
          <w:rFonts w:ascii="Arial" w:cs="Arial" w:eastAsia="Arial" w:hAnsi="Arial"/>
          <w:sz w:val="20"/>
          <w:szCs w:val="20"/>
        </w:rPr>
        <w:t xml:space="preserve">Direct but neutral question: ‘Are there any financial challenges or cash flow situations we should be aware of before we finalize the quote?’</w:t>
      </w:r>
    </w:p>
    <w:p>
      <w:pPr>
        <w:pStyle w:val="ListParagraph"/>
        <w:numPr>
          <w:ilvl w:val="0"/>
          <w:numId w:val="3"/>
        </w:numPr>
        <w:spacing w:after="40" w:before="40"/>
      </w:pPr>
      <w:r>
        <w:rPr>
          <w:rFonts w:ascii="Arial" w:cs="Arial" w:eastAsia="Arial" w:hAnsi="Arial"/>
          <w:sz w:val="20"/>
          <w:szCs w:val="20"/>
        </w:rPr>
        <w:t xml:space="preserve">If identified, flag in CRM and apply the multiplier in the pricing tool before issuing the final quote.</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5. Financial Report Quality Assessment</w:t>
      </w:r>
    </w:p>
    <w:p>
      <w:pPr>
        <w:spacing w:after="80" w:before="60"/>
      </w:pPr>
      <w:r>
        <w:rPr>
          <w:rFonts w:ascii="Arial" w:cs="Arial" w:eastAsia="Arial" w:hAnsi="Arial"/>
          <w:sz w:val="20"/>
          <w:szCs w:val="20"/>
        </w:rPr>
        <w:t xml:space="preserve">Report quality (1.0–1.15 multiplier) is now an internal assessment. The date of last professional financial report on the form is the primary intake indicator.</w:t>
      </w:r>
    </w:p>
    <w:p>
      <w:pPr>
        <w:pStyle w:val="ListParagraph"/>
        <w:numPr>
          <w:ilvl w:val="0"/>
          <w:numId w:val="3"/>
        </w:numPr>
        <w:spacing w:after="40" w:before="40"/>
      </w:pPr>
      <w:r>
        <w:rPr>
          <w:rFonts w:ascii="Arial" w:cs="Arial" w:eastAsia="Arial" w:hAnsi="Arial"/>
          <w:sz w:val="20"/>
          <w:szCs w:val="20"/>
        </w:rPr>
        <w:t xml:space="preserve">Reports over 2 years old: Flag for onboarding team to assess cleanup or reconstruction. May apply the quality multiplier proactively.</w:t>
      </w:r>
    </w:p>
    <w:p>
      <w:pPr>
        <w:pStyle w:val="ListParagraph"/>
        <w:numPr>
          <w:ilvl w:val="0"/>
          <w:numId w:val="3"/>
        </w:numPr>
        <w:spacing w:after="40" w:before="40"/>
      </w:pPr>
      <w:r>
        <w:rPr>
          <w:rFonts w:ascii="Arial" w:cs="Arial" w:eastAsia="Arial" w:hAnsi="Arial"/>
          <w:sz w:val="20"/>
          <w:szCs w:val="20"/>
        </w:rPr>
        <w:t xml:space="preserve">Self-managed with no professional report history: Treat as likely requiring reconstruction; apply multiplier proactively.</w:t>
      </w:r>
    </w:p>
    <w:p>
      <w:pPr>
        <w:pStyle w:val="ListParagraph"/>
        <w:numPr>
          <w:ilvl w:val="0"/>
          <w:numId w:val="3"/>
        </w:numPr>
        <w:spacing w:after="40" w:before="40"/>
      </w:pPr>
      <w:r>
        <w:rPr>
          <w:rFonts w:ascii="Arial" w:cs="Arial" w:eastAsia="Arial" w:hAnsi="Arial"/>
          <w:sz w:val="20"/>
          <w:szCs w:val="20"/>
        </w:rPr>
        <w:t xml:space="preserve">Onboarding team confirms final pricing before contract is countersigned.</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6. TIC and Commercial Condo Identification</w:t>
      </w:r>
    </w:p>
    <w:p>
      <w:pPr>
        <w:spacing w:after="80" w:before="60"/>
      </w:pPr>
      <w:r>
        <w:rPr>
          <w:rFonts w:ascii="Arial" w:cs="Arial" w:eastAsia="Arial" w:hAnsi="Arial"/>
          <w:sz w:val="20"/>
          <w:szCs w:val="20"/>
        </w:rPr>
        <w:t xml:space="preserve">TIC and Commercial Condo structures are identified internally from the community name by the pricing team — they are not on the RFQ form. If a prospect’s community name suggests either structure, or if they mention it on the call:</w:t>
      </w:r>
    </w:p>
    <w:p>
      <w:pPr>
        <w:pStyle w:val="ListParagraph"/>
        <w:numPr>
          <w:ilvl w:val="0"/>
          <w:numId w:val="3"/>
        </w:numPr>
        <w:spacing w:after="40" w:before="40"/>
      </w:pPr>
      <w:r>
        <w:rPr>
          <w:rFonts w:ascii="Arial" w:cs="Arial" w:eastAsia="Arial" w:hAnsi="Arial"/>
          <w:sz w:val="20"/>
          <w:szCs w:val="20"/>
        </w:rPr>
        <w:t xml:space="preserve">Flag the quote for pricing review before issuing.</w:t>
      </w:r>
    </w:p>
    <w:p>
      <w:pPr>
        <w:pStyle w:val="ListParagraph"/>
        <w:numPr>
          <w:ilvl w:val="0"/>
          <w:numId w:val="3"/>
        </w:numPr>
        <w:spacing w:after="40" w:before="40"/>
      </w:pPr>
      <w:r>
        <w:rPr>
          <w:rFonts w:ascii="Arial" w:cs="Arial" w:eastAsia="Arial" w:hAnsi="Arial"/>
          <w:sz w:val="20"/>
          <w:szCs w:val="20"/>
        </w:rPr>
        <w:t xml:space="preserve">Also check for Master Association structures or mixed-use properties that parallel these complexity types.</w:t>
      </w:r>
    </w:p>
    <w:p>
      <w:pPr>
        <w:pStyle w:val="ListParagraph"/>
        <w:numPr>
          <w:ilvl w:val="0"/>
          <w:numId w:val="3"/>
        </w:numPr>
        <w:spacing w:after="40" w:before="40"/>
      </w:pPr>
      <w:r>
        <w:rPr>
          <w:rFonts w:ascii="Arial" w:cs="Arial" w:eastAsia="Arial" w:hAnsi="Arial"/>
          <w:sz w:val="20"/>
          <w:szCs w:val="20"/>
        </w:rPr>
        <w:t xml:space="preserve">Note in the CRM opportunity record and ensure the pricing software flag is activated before the proposal goes out.</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7. Follow-Up Call: Recovering Optional Fields</w:t>
      </w:r>
    </w:p>
    <w:p>
      <w:pPr>
        <w:spacing w:after="80" w:before="60"/>
      </w:pPr>
      <w:r>
        <w:rPr>
          <w:rFonts w:ascii="Arial" w:cs="Arial" w:eastAsia="Arial" w:hAnsi="Arial"/>
          <w:sz w:val="20"/>
          <w:szCs w:val="20"/>
        </w:rPr>
        <w:t xml:space="preserve">Before a final proposal is sent, make a brief 2-3 minute call to capture any blanks from the optional fields. Suggested questions:</w:t>
      </w:r>
    </w:p>
    <w:p>
      <w:pPr>
        <w:pStyle w:val="ListParagraph"/>
        <w:numPr>
          <w:ilvl w:val="0"/>
          <w:numId w:val="3"/>
        </w:numPr>
        <w:spacing w:after="40" w:before="40"/>
      </w:pPr>
      <w:r>
        <w:rPr>
          <w:rFonts w:ascii="Arial" w:cs="Arial" w:eastAsia="Arial" w:hAnsi="Arial"/>
          <w:sz w:val="20"/>
          <w:szCs w:val="20"/>
        </w:rPr>
        <w:t xml:space="preserve">‘What are homeowners paying in monthly dues?’</w:t>
      </w:r>
    </w:p>
    <w:p>
      <w:pPr>
        <w:pStyle w:val="ListParagraph"/>
        <w:numPr>
          <w:ilvl w:val="0"/>
          <w:numId w:val="3"/>
        </w:numPr>
        <w:spacing w:after="40" w:before="40"/>
      </w:pPr>
      <w:r>
        <w:rPr>
          <w:rFonts w:ascii="Arial" w:cs="Arial" w:eastAsia="Arial" w:hAnsi="Arial"/>
          <w:sz w:val="20"/>
          <w:szCs w:val="20"/>
        </w:rPr>
        <w:t xml:space="preserve">‘Roughly how many vendor bills does the community pay per month?’ (Only matters if over 25)</w:t>
      </w:r>
    </w:p>
    <w:p>
      <w:pPr>
        <w:pStyle w:val="ListParagraph"/>
        <w:numPr>
          <w:ilvl w:val="0"/>
          <w:numId w:val="3"/>
        </w:numPr>
        <w:spacing w:after="40" w:before="40"/>
      </w:pPr>
      <w:r>
        <w:rPr>
          <w:rFonts w:ascii="Arial" w:cs="Arial" w:eastAsia="Arial" w:hAnsi="Arial"/>
          <w:sz w:val="20"/>
          <w:szCs w:val="20"/>
        </w:rPr>
        <w:t xml:space="preserve">‘Does the community have any employees on payroll?’ (If not answered on form)</w:t>
      </w:r>
    </w:p>
    <w:p>
      <w:pPr>
        <w:pStyle w:val="ListParagraph"/>
        <w:numPr>
          <w:ilvl w:val="0"/>
          <w:numId w:val="3"/>
        </w:numPr>
        <w:spacing w:after="40" w:before="40"/>
      </w:pPr>
      <w:r>
        <w:rPr>
          <w:rFonts w:ascii="Arial" w:cs="Arial" w:eastAsia="Arial" w:hAnsi="Arial"/>
          <w:sz w:val="20"/>
          <w:szCs w:val="20"/>
        </w:rPr>
        <w:t xml:space="preserve">‘Are there any unusual financial situations — active lawsuits, deferred maintenance funds, or anything outside the normal operating budget?’</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8. CRM Checklist for Streamlined RFQ Quotes</w:t>
      </w:r>
    </w:p>
    <w:p>
      <w:pPr>
        <w:spacing w:after="80" w:before="60"/>
      </w:pPr>
      <w:r>
        <w:rPr>
          <w:rFonts w:ascii="Arial" w:cs="Arial" w:eastAsia="Arial" w:hAnsi="Arial"/>
          <w:sz w:val="20"/>
          <w:szCs w:val="20"/>
        </w:rPr>
        <w:t xml:space="preserve">Build a CRM checklist that triggers for every quote generated from the updated form. Confirm before the final proposal is issued:</w:t>
      </w:r>
    </w:p>
    <w:p>
      <w:pPr>
        <w:pStyle w:val="ListParagraph"/>
        <w:numPr>
          <w:ilvl w:val="0"/>
          <w:numId w:val="3"/>
        </w:numPr>
        <w:spacing w:after="40" w:before="40"/>
      </w:pPr>
      <w:r>
        <w:rPr>
          <w:rFonts w:ascii="Arial" w:cs="Arial" w:eastAsia="Arial" w:hAnsi="Arial"/>
          <w:sz w:val="20"/>
          <w:szCs w:val="20"/>
        </w:rPr>
        <w:t xml:space="preserve">Dues per unit/month captured — Yes / No (call to capture if No)</w:t>
      </w:r>
    </w:p>
    <w:p>
      <w:pPr>
        <w:pStyle w:val="ListParagraph"/>
        <w:numPr>
          <w:ilvl w:val="0"/>
          <w:numId w:val="3"/>
        </w:numPr>
        <w:spacing w:after="40" w:before="40"/>
      </w:pPr>
      <w:r>
        <w:rPr>
          <w:rFonts w:ascii="Arial" w:cs="Arial" w:eastAsia="Arial" w:hAnsi="Arial"/>
          <w:sz w:val="20"/>
          <w:szCs w:val="20"/>
        </w:rPr>
        <w:t xml:space="preserve">Software checked for Smartwebs conflict — Yes / No</w:t>
      </w:r>
    </w:p>
    <w:p>
      <w:pPr>
        <w:pStyle w:val="ListParagraph"/>
        <w:numPr>
          <w:ilvl w:val="0"/>
          <w:numId w:val="3"/>
        </w:numPr>
        <w:spacing w:after="40" w:before="40"/>
      </w:pPr>
      <w:r>
        <w:rPr>
          <w:rFonts w:ascii="Arial" w:cs="Arial" w:eastAsia="Arial" w:hAnsi="Arial"/>
          <w:sz w:val="20"/>
          <w:szCs w:val="20"/>
        </w:rPr>
        <w:t xml:space="preserve">Cash flow issues assessed — Clear / Flagged</w:t>
      </w:r>
    </w:p>
    <w:p>
      <w:pPr>
        <w:pStyle w:val="ListParagraph"/>
        <w:numPr>
          <w:ilvl w:val="0"/>
          <w:numId w:val="3"/>
        </w:numPr>
        <w:spacing w:after="40" w:before="40"/>
      </w:pPr>
      <w:r>
        <w:rPr>
          <w:rFonts w:ascii="Arial" w:cs="Arial" w:eastAsia="Arial" w:hAnsi="Arial"/>
          <w:sz w:val="20"/>
          <w:szCs w:val="20"/>
        </w:rPr>
        <w:t xml:space="preserve">Delinquency sell sheet attached if applicable — Yes / N/A</w:t>
      </w:r>
    </w:p>
    <w:p>
      <w:pPr>
        <w:pStyle w:val="ListParagraph"/>
        <w:numPr>
          <w:ilvl w:val="0"/>
          <w:numId w:val="3"/>
        </w:numPr>
        <w:spacing w:after="40" w:before="40"/>
      </w:pPr>
      <w:r>
        <w:rPr>
          <w:rFonts w:ascii="Arial" w:cs="Arial" w:eastAsia="Arial" w:hAnsi="Arial"/>
          <w:sz w:val="20"/>
          <w:szCs w:val="20"/>
        </w:rPr>
        <w:t xml:space="preserve">Report date reviewed — Recent / Stale / Unknown</w:t>
      </w:r>
    </w:p>
    <w:p>
      <w:pPr>
        <w:pStyle w:val="ListParagraph"/>
        <w:numPr>
          <w:ilvl w:val="0"/>
          <w:numId w:val="3"/>
        </w:numPr>
        <w:spacing w:after="40" w:before="40"/>
      </w:pPr>
      <w:r>
        <w:rPr>
          <w:rFonts w:ascii="Arial" w:cs="Arial" w:eastAsia="Arial" w:hAnsi="Arial"/>
          <w:sz w:val="20"/>
          <w:szCs w:val="20"/>
        </w:rPr>
        <w:t xml:space="preserve">TIC or Commercial Condo identified — None / Flagged for pricing review</w:t>
      </w:r>
    </w:p>
    <w:p>
      <w:pPr>
        <w:pStyle w:val="ListParagraph"/>
        <w:numPr>
          <w:ilvl w:val="0"/>
          <w:numId w:val="3"/>
        </w:numPr>
        <w:spacing w:after="40" w:before="40"/>
      </w:pPr>
      <w:r>
        <w:rPr>
          <w:rFonts w:ascii="Arial" w:cs="Arial" w:eastAsia="Arial" w:hAnsi="Arial"/>
          <w:sz w:val="20"/>
          <w:szCs w:val="20"/>
        </w:rPr>
        <w:t xml:space="preserve">Large community + semi-annual/annual billing — Price floor check confirmed</w:t>
      </w:r>
    </w:p>
    <w:p>
      <w:pPr>
        <w:pStyle w:val="ListParagraph"/>
        <w:numPr>
          <w:ilvl w:val="0"/>
          <w:numId w:val="3"/>
        </w:numPr>
        <w:spacing w:after="40" w:before="40"/>
      </w:pPr>
      <w:r>
        <w:rPr>
          <w:rFonts w:ascii="Arial" w:cs="Arial" w:eastAsia="Arial" w:hAnsi="Arial"/>
          <w:sz w:val="20"/>
          <w:szCs w:val="20"/>
        </w:rPr>
        <w:t xml:space="preserve">All pricing tool defaults confirmed or overridden — Confirmed</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Pricing Software Enhancements (Internal)</w:t>
      </w:r>
    </w:p>
    <w:p>
      <w:pPr>
        <w:spacing w:after="80" w:before="60"/>
      </w:pPr>
      <w:r>
        <w:rPr>
          <w:rFonts w:ascii="Arial" w:cs="Arial" w:eastAsia="Arial" w:hAnsi="Arial"/>
          <w:sz w:val="20"/>
          <w:szCs w:val="20"/>
        </w:rPr>
        <w:t xml:space="preserve">The following items are not RFQ form changes — they are updates required in the Effective Pricing software to handle edge cases and special community types correctly. These are flagged here so they are documented alongside the RFQ optimization work and can be scoped for the next software update cycle.</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1. TIC and Commercial Condo Community Flag</w:t>
      </w:r>
    </w:p>
    <w:p>
      <w:pPr>
        <w:spacing w:after="80" w:before="60"/>
      </w:pPr>
      <w:r>
        <w:rPr>
          <w:rFonts w:ascii="Arial" w:cs="Arial" w:eastAsia="Arial" w:hAnsi="Arial"/>
          <w:sz w:val="20"/>
          <w:szCs w:val="20"/>
        </w:rPr>
        <w:t xml:space="preserve">Tenants in Common (TIC) and Commercial Condo communities represent non-standard structures that may warrant pricing adjustments above the standard HOA/Condo base rate. These community types are not appropriate for self-identification on the RFQ form — prospects may not know the technical designation, and exposing the question reveals pricing logic.</w:t>
      </w:r>
    </w:p>
    <w:p>
      <w:pPr>
        <w:pStyle w:val="ListParagraph"/>
        <w:numPr>
          <w:ilvl w:val="0"/>
          <w:numId w:val="3"/>
        </w:numPr>
        <w:spacing w:after="40" w:before="40"/>
      </w:pPr>
      <w:r>
        <w:rPr>
          <w:rFonts w:ascii="Arial" w:cs="Arial" w:eastAsia="Arial" w:hAnsi="Arial"/>
          <w:sz w:val="20"/>
          <w:szCs w:val="20"/>
        </w:rPr>
        <w:t xml:space="preserve">Identification method: The pricing team flags TIC and Commercial Condo communities based on the community name (e.g., ‘123 Main Street TIC,’ ‘Riverside Commercial Condominium’).</w:t>
      </w:r>
    </w:p>
    <w:p>
      <w:pPr>
        <w:pStyle w:val="ListParagraph"/>
        <w:numPr>
          <w:ilvl w:val="0"/>
          <w:numId w:val="3"/>
        </w:numPr>
        <w:spacing w:after="40" w:before="40"/>
      </w:pPr>
      <w:r>
        <w:rPr>
          <w:rFonts w:ascii="Arial" w:cs="Arial" w:eastAsia="Arial" w:hAnsi="Arial"/>
          <w:sz w:val="20"/>
          <w:szCs w:val="20"/>
        </w:rPr>
        <w:t xml:space="preserve">Software requirement: Add an internal checkbox or flag in the Effective Pricing software that the pricing team can activate when a TIC or Commercial Condo structure is identified. This flag should trigger a pricing review and allow a manual or formula-based upcharge to be applied.</w:t>
      </w:r>
    </w:p>
    <w:p>
      <w:pPr>
        <w:pStyle w:val="ListParagraph"/>
        <w:numPr>
          <w:ilvl w:val="0"/>
          <w:numId w:val="3"/>
        </w:numPr>
        <w:spacing w:after="40" w:before="40"/>
      </w:pPr>
      <w:r>
        <w:rPr>
          <w:rFonts w:ascii="Arial" w:cs="Arial" w:eastAsia="Arial" w:hAnsi="Arial"/>
          <w:sz w:val="20"/>
          <w:szCs w:val="20"/>
        </w:rPr>
        <w:t xml:space="preserve">This replaces the previous Community Size/Complexity adder for these structure types, which was removed from the RFQ form.</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2. Semi-Annual / Annual Billing + Large Community Price Floor</w:t>
      </w:r>
    </w:p>
    <w:p>
      <w:pPr>
        <w:spacing w:after="80" w:before="60"/>
      </w:pPr>
      <w:r>
        <w:rPr>
          <w:rFonts w:ascii="Arial" w:cs="Arial" w:eastAsia="Arial" w:hAnsi="Arial"/>
          <w:sz w:val="20"/>
          <w:szCs w:val="20"/>
        </w:rPr>
        <w:t xml:space="preserve">The current pricing formula applies two independent discounts that can stack to produce prices below acceptable margins for large communities with infrequent billing:</w:t>
      </w:r>
    </w:p>
    <w:p>
      <w:pPr>
        <w:pStyle w:val="ListParagraph"/>
        <w:numPr>
          <w:ilvl w:val="0"/>
          <w:numId w:val="3"/>
        </w:numPr>
        <w:spacing w:after="40" w:before="40"/>
      </w:pPr>
      <w:r>
        <w:rPr>
          <w:rFonts w:ascii="Arial" w:cs="Arial" w:eastAsia="Arial" w:hAnsi="Arial"/>
          <w:sz w:val="20"/>
          <w:szCs w:val="20"/>
        </w:rPr>
        <w:t xml:space="preserve">Volume discount: Large unit counts (e.g., 1,000+ units) drive the per-unit base rate down substantially via the tier table.</w:t>
      </w:r>
    </w:p>
    <w:p>
      <w:pPr>
        <w:pStyle w:val="ListParagraph"/>
        <w:numPr>
          <w:ilvl w:val="0"/>
          <w:numId w:val="3"/>
        </w:numPr>
        <w:spacing w:after="40" w:before="40"/>
      </w:pPr>
      <w:r>
        <w:rPr>
          <w:rFonts w:ascii="Arial" w:cs="Arial" w:eastAsia="Arial" w:hAnsi="Arial"/>
          <w:sz w:val="20"/>
          <w:szCs w:val="20"/>
        </w:rPr>
        <w:t xml:space="preserve">Frequency multiplier: Semi-annual billing (0.80–0.90) and annual billing (0.70–0.80) apply an additional reduction on top of the already-discounted base rate.</w:t>
      </w:r>
    </w:p>
    <w:p>
      <w:pPr>
        <w:pStyle w:val="ListParagraph"/>
        <w:numPr>
          <w:ilvl w:val="0"/>
          <w:numId w:val="3"/>
        </w:numPr>
        <w:spacing w:after="40" w:before="40"/>
      </w:pPr>
      <w:r>
        <w:rPr>
          <w:rFonts w:ascii="Arial" w:cs="Arial" w:eastAsia="Arial" w:hAnsi="Arial"/>
          <w:sz w:val="20"/>
          <w:szCs w:val="20"/>
        </w:rPr>
        <w:t xml:space="preserve">When both conditions are present simultaneously, the combined effect can push the effective per-door rate below what the workload justifies.</w:t>
      </w:r>
    </w:p>
    <w:p>
      <w:pPr>
        <w:spacing w:after="40" w:before="40"/>
      </w:pPr>
      <w:r>
        <w:t xml:space="preserve"/>
      </w:r>
    </w:p>
    <w:p>
      <w:pPr>
        <w:spacing w:after="80" w:before="60"/>
      </w:pPr>
      <w:r>
        <w:rPr>
          <w:rFonts w:ascii="Arial" w:cs="Arial" w:eastAsia="Arial" w:hAnsi="Arial"/>
          <w:sz w:val="20"/>
          <w:szCs w:val="20"/>
        </w:rPr>
        <w:t xml:space="preserve">Proposed software enhancement: Build a minimum per-door price floor that activates when (a) billing frequency is semi-annual or annual AND (b) unit count exceeds a defined threshold. Example floor: $2.85/door for communities of 1,000+ units. Equivalent floors should be calibrated for other large-unit tiers (e.g., 500–999 units, 200–499 units) to create a smooth protection curve.</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rPr>
          <w:tblHeader/>
        </w:trPr>
        <w:tc>
          <w:tcPr>
            <w:tcW w:type="dxa" w:w="22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Unit Range</w:t>
            </w:r>
          </w:p>
        </w:tc>
        <w:tc>
          <w:tcPr>
            <w:tcW w:type="dxa" w:w="18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Triggers On</w:t>
            </w:r>
          </w:p>
        </w:tc>
        <w:tc>
          <w:tcPr>
            <w:tcW w:type="dxa" w:w="18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Min $/Door Floor</w:t>
            </w:r>
          </w:p>
        </w:tc>
        <w:tc>
          <w:tcPr>
            <w:tcW w:type="dxa" w:w="356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Notes</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1,000+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Semi-annual or Annual billing</w:t>
            </w:r>
          </w:p>
        </w:tc>
        <w:tc>
          <w:tcPr>
            <w:tcW w:type="dxa" w:w="1800"/>
            <w:gridSpan w:val="1"/>
            <w:tcBorders>
              <w:top w:val="single" w:color="CCCCCC" w:sz="4"/>
              <w:left w:val="single" w:color="CCCCCC" w:sz="4"/>
              <w:bottom w:val="single" w:color="CCCCCC" w:sz="4"/>
              <w:right w:val="single" w:color="CCCCCC" w:sz="4"/>
            </w:tcBorders>
            <w:shd w:fill="FFF2CC" w:val="clear"/>
            <w:tcMar>
              <w:top w:type="dxa" w:w="80"/>
              <w:left w:type="dxa" w:w="120"/>
              <w:bottom w:type="dxa" w:w="80"/>
              <w:right w:type="dxa" w:w="120"/>
            </w:tcMar>
          </w:tcPr>
          <w:p>
            <w:pPr>
              <w:jc w:val="left"/>
            </w:pPr>
            <w:r>
              <w:rPr>
                <w:rFonts w:ascii="Arial" w:cs="Arial" w:eastAsia="Arial" w:hAnsi="Arial"/>
                <w:b/>
                <w:bCs/>
                <w:color w:val="7F6000"/>
                <w:sz w:val="18"/>
                <w:szCs w:val="18"/>
              </w:rPr>
              <w:t xml:space="preserve">$2.85 / door</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Confirmed by Russell. Prevents volume + frequency double-discount from compressing margins below acceptable level.</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500–999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Semi-annual or Annual billing</w:t>
            </w:r>
          </w:p>
        </w:tc>
        <w:tc>
          <w:tcPr>
            <w:tcW w:type="dxa" w:w="18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bCs/>
                <w:color w:val="843C0C"/>
                <w:sz w:val="18"/>
                <w:szCs w:val="18"/>
              </w:rPr>
              <w:t xml:space="preserve">TBD — calibrate</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Recommend pricing team reviews actual quotes in this range to set an appropriate floor.</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200–499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Annual billing only</w:t>
            </w:r>
          </w:p>
        </w:tc>
        <w:tc>
          <w:tcPr>
            <w:tcW w:type="dxa" w:w="18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bCs/>
                <w:color w:val="843C0C"/>
                <w:sz w:val="18"/>
                <w:szCs w:val="18"/>
              </w:rPr>
              <w:t xml:space="preserve">TBD — calibrate</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Lower risk range but worth reviewing. Semi-annual at this size is generally acceptable.</w:t>
            </w:r>
          </w:p>
        </w:tc>
      </w:tr>
    </w:tbl>
    <w:p>
      <w:pPr>
        <w:spacing w:after="40" w:before="40"/>
      </w:pPr>
      <w:r>
        <w:t xml:space="preserve"/>
      </w:r>
    </w:p>
    <w:p>
      <w:pPr>
        <w:spacing w:after="80" w:before="60"/>
      </w:pPr>
      <w:r>
        <w:rPr>
          <w:rFonts w:ascii="Arial" w:cs="Arial" w:eastAsia="Arial" w:hAnsi="Arial"/>
          <w:i/>
          <w:iCs/>
          <w:sz w:val="20"/>
          <w:szCs w:val="20"/>
        </w:rPr>
        <w:t xml:space="preserve">Implementation note: The floor should override the frequency multiplier result — i.e., if (base rate × frequency multiplier) &lt; floor, the system uses the floor rate instead. The override should be visible to the pricing team in the software so it is transparent when applied.</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3. Regional Pricing Adjustment</w:t>
      </w:r>
    </w:p>
    <w:p>
      <w:pPr>
        <w:spacing w:after="80" w:before="60"/>
      </w:pPr>
      <w:r>
        <w:rPr>
          <w:rFonts w:ascii="Arial" w:cs="Arial" w:eastAsia="Arial" w:hAnsi="Arial"/>
          <w:sz w:val="20"/>
          <w:szCs w:val="20"/>
        </w:rPr>
        <w:t xml:space="preserve">The current PCI (Per Capita Income) multiplier approximates regional pricing variation using zip code-derived income data, producing a 0.85–1.10 range. A more granular regional pricing layer could be built into the software as a separate control, allowing deliberate market-by-market price positioning beyond what the PCI tier table provides.</w:t>
      </w:r>
    </w:p>
    <w:p>
      <w:pPr>
        <w:pStyle w:val="ListParagraph"/>
        <w:numPr>
          <w:ilvl w:val="0"/>
          <w:numId w:val="3"/>
        </w:numPr>
        <w:spacing w:after="40" w:before="40"/>
      </w:pPr>
      <w:r>
        <w:rPr>
          <w:rFonts w:ascii="Arial" w:cs="Arial" w:eastAsia="Arial" w:hAnsi="Arial"/>
          <w:sz w:val="20"/>
          <w:szCs w:val="20"/>
        </w:rPr>
        <w:t xml:space="preserve">Use case: CF may want to price more aggressively in markets where competition is high, or apply a premium in markets where CF has strong brand presence and lower competitive pressure.</w:t>
      </w:r>
    </w:p>
    <w:p>
      <w:pPr>
        <w:pStyle w:val="ListParagraph"/>
        <w:numPr>
          <w:ilvl w:val="0"/>
          <w:numId w:val="3"/>
        </w:numPr>
        <w:spacing w:after="40" w:before="40"/>
      </w:pPr>
      <w:r>
        <w:rPr>
          <w:rFonts w:ascii="Arial" w:cs="Arial" w:eastAsia="Arial" w:hAnsi="Arial"/>
          <w:sz w:val="20"/>
          <w:szCs w:val="20"/>
        </w:rPr>
        <w:t xml:space="preserve">Implementation options: (a) A regional multiplier table by state or metro area that overlays the PCI multiplier, or (b) a manual override field in the pricing software that allows the pricing team to apply a market adjustment as a percentage above or below the calculated price.</w:t>
      </w:r>
    </w:p>
    <w:p>
      <w:pPr>
        <w:pStyle w:val="ListParagraph"/>
        <w:numPr>
          <w:ilvl w:val="0"/>
          <w:numId w:val="3"/>
        </w:numPr>
        <w:spacing w:after="40" w:before="40"/>
      </w:pPr>
      <w:r>
        <w:rPr>
          <w:rFonts w:ascii="Arial" w:cs="Arial" w:eastAsia="Arial" w:hAnsi="Arial"/>
          <w:sz w:val="20"/>
          <w:szCs w:val="20"/>
        </w:rPr>
        <w:t xml:space="preserve">This enhancement is additive to the existing PCI mechanism and would not require any changes to the RFQ form — it is entirely internal to the pricing software.</w:t>
      </w:r>
    </w:p>
    <w:p>
      <w:pPr>
        <w:pStyle w:val="ListParagraph"/>
        <w:numPr>
          <w:ilvl w:val="0"/>
          <w:numId w:val="3"/>
        </w:numPr>
        <w:spacing w:after="40" w:before="40"/>
      </w:pPr>
      <w:r>
        <w:rPr>
          <w:rFonts w:ascii="Arial" w:cs="Arial" w:eastAsia="Arial" w:hAnsi="Arial"/>
          <w:sz w:val="20"/>
          <w:szCs w:val="20"/>
        </w:rPr>
        <w:t xml:space="preserve">Recommended first step: Pull current quotes by state/metro and review whether pricing outcomes appear consistent with market conditions before building the adjustment table.</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Phase 2: Future Enhancements</w:t>
      </w:r>
    </w:p>
    <w:p>
      <w:pPr>
        <w:spacing w:after="80" w:before="60"/>
      </w:pPr>
      <w:r>
        <w:rPr>
          <w:rFonts w:ascii="Arial" w:cs="Arial" w:eastAsia="Arial" w:hAnsi="Arial"/>
          <w:sz w:val="20"/>
          <w:szCs w:val="20"/>
        </w:rPr>
        <w:t xml:space="preserve">The following ideas are not part of the immediate RFQ optimization but represent meaningful improvements to the quoting and sales process. These are documented here for scoping in the next project phase.</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1. Dynamic Form Fields Based on Community Size</w:t>
      </w:r>
    </w:p>
    <w:p>
      <w:pPr>
        <w:spacing w:after="80" w:before="60"/>
      </w:pPr>
      <w:r>
        <w:rPr>
          <w:rFonts w:ascii="Arial" w:cs="Arial" w:eastAsia="Arial" w:hAnsi="Arial"/>
          <w:sz w:val="20"/>
          <w:szCs w:val="20"/>
        </w:rPr>
        <w:t xml:space="preserve">Larger communities are inherently more complex — more bank accounts, more likely to have loans, investment accounts, employees, and cost centers. The current form treats a 12-unit condo and a 400-unit master association identically. A smarter approach would adapt the form experience based on unit count.</w:t>
      </w:r>
    </w:p>
    <w:p>
      <w:pPr>
        <w:pStyle w:val="ListParagraph"/>
        <w:numPr>
          <w:ilvl w:val="0"/>
          <w:numId w:val="3"/>
        </w:numPr>
        <w:spacing w:after="40" w:before="40"/>
      </w:pPr>
      <w:r>
        <w:rPr>
          <w:rFonts w:ascii="Arial" w:cs="Arial" w:eastAsia="Arial" w:hAnsi="Arial"/>
          <w:sz w:val="20"/>
          <w:szCs w:val="20"/>
        </w:rPr>
        <w:t xml:space="preserve">Small communities (under 50 units): Show a streamlined short form. Most adder fields will be zero; minimize friction to maximize completion rate.</w:t>
      </w:r>
    </w:p>
    <w:p>
      <w:pPr>
        <w:pStyle w:val="ListParagraph"/>
        <w:numPr>
          <w:ilvl w:val="0"/>
          <w:numId w:val="3"/>
        </w:numPr>
        <w:spacing w:after="40" w:before="40"/>
      </w:pPr>
      <w:r>
        <w:rPr>
          <w:rFonts w:ascii="Arial" w:cs="Arial" w:eastAsia="Arial" w:hAnsi="Arial"/>
          <w:sz w:val="20"/>
          <w:szCs w:val="20"/>
        </w:rPr>
        <w:t xml:space="preserve">Mid-size communities (50–249 units): Show the standard proposed form (12 mandatory + 3 optional).</w:t>
      </w:r>
    </w:p>
    <w:p>
      <w:pPr>
        <w:pStyle w:val="ListParagraph"/>
        <w:numPr>
          <w:ilvl w:val="0"/>
          <w:numId w:val="3"/>
        </w:numPr>
        <w:spacing w:after="40" w:before="40"/>
      </w:pPr>
      <w:r>
        <w:rPr>
          <w:rFonts w:ascii="Arial" w:cs="Arial" w:eastAsia="Arial" w:hAnsi="Arial"/>
          <w:sz w:val="20"/>
          <w:szCs w:val="20"/>
        </w:rPr>
        <w:t xml:space="preserve">Large communities (250+ units): Expand the form to surface additional fields that are more likely to be relevant — e.g., number of cost centers, employees, loan count, and investment account detail — since these prospects have higher revenue potential and greater pricing complexity.</w:t>
      </w:r>
    </w:p>
    <w:p>
      <w:pPr>
        <w:pStyle w:val="ListParagraph"/>
        <w:numPr>
          <w:ilvl w:val="0"/>
          <w:numId w:val="3"/>
        </w:numPr>
        <w:spacing w:after="40" w:before="40"/>
      </w:pPr>
      <w:r>
        <w:rPr>
          <w:rFonts w:ascii="Arial" w:cs="Arial" w:eastAsia="Arial" w:hAnsi="Arial"/>
          <w:sz w:val="20"/>
          <w:szCs w:val="20"/>
        </w:rPr>
        <w:t xml:space="preserve">Implementation: Unit count is captured early in Step 2. Conditional logic can show or hide field groups dynamically based on the entered value before the prospect reaches those sections.</w:t>
      </w:r>
    </w:p>
    <w:p>
      <w:pPr>
        <w:pStyle w:val="ListParagraph"/>
        <w:numPr>
          <w:ilvl w:val="0"/>
          <w:numId w:val="3"/>
        </w:numPr>
        <w:spacing w:after="40" w:before="40"/>
      </w:pPr>
      <w:r>
        <w:rPr>
          <w:rFonts w:ascii="Arial" w:cs="Arial" w:eastAsia="Arial" w:hAnsi="Arial"/>
          <w:sz w:val="20"/>
          <w:szCs w:val="20"/>
        </w:rPr>
        <w:t xml:space="preserve">Benefit: Reduces friction for simple communities while capturing richer data for complex ones, improving quote accuracy at both ends of the size spectrum.</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2. 250+ Unit Flag: Sales-Assisted Quoting Instead of Instant Price</w:t>
      </w:r>
    </w:p>
    <w:p>
      <w:pPr>
        <w:spacing w:after="80" w:before="60"/>
      </w:pPr>
      <w:r>
        <w:rPr>
          <w:rFonts w:ascii="Arial" w:cs="Arial" w:eastAsia="Arial" w:hAnsi="Arial"/>
          <w:sz w:val="20"/>
          <w:szCs w:val="20"/>
        </w:rPr>
        <w:t xml:space="preserve">Communities over 250 units represent a disproportionate share of revenue and often have unique financial structures, special assessments, complex cost center arrangements, or negotiated pricing considerations. Sending an auto-generated quote to these prospects without a conversation carries meaningful risk — either underpricing a complex account or losing a high-value prospect due to a price that doesn’t reflect their actual situation.</w:t>
      </w:r>
    </w:p>
    <w:p>
      <w:pPr>
        <w:spacing w:after="40" w:before="40"/>
      </w:pPr>
      <w:r>
        <w:t xml:space="preserve"/>
      </w:r>
    </w:p>
    <w:p>
      <w:pPr>
        <w:spacing w:after="80" w:before="60"/>
      </w:pPr>
      <w:r>
        <w:rPr>
          <w:rFonts w:ascii="Arial" w:cs="Arial" w:eastAsia="Arial" w:hAnsi="Arial"/>
          <w:sz w:val="20"/>
          <w:szCs w:val="20"/>
        </w:rPr>
        <w:t xml:space="preserve">Proposed approach: When a prospect enters 250+ units on the RFQ form, suppress the instant quote and instead trigger a sales team alert.</w:t>
      </w:r>
    </w:p>
    <w:p>
      <w:pPr>
        <w:pStyle w:val="ListParagraph"/>
        <w:numPr>
          <w:ilvl w:val="0"/>
          <w:numId w:val="3"/>
        </w:numPr>
        <w:spacing w:after="40" w:before="40"/>
      </w:pPr>
      <w:r>
        <w:rPr>
          <w:rFonts w:ascii="Arial" w:cs="Arial" w:eastAsia="Arial" w:hAnsi="Arial"/>
          <w:sz w:val="20"/>
          <w:szCs w:val="20"/>
        </w:rPr>
        <w:t xml:space="preserve">The prospect receives a confirmation message: ‘Thank you — based on your community size, one of our team members will reach out within 1 business day to prepare a custom quote tailored to your community.’</w:t>
      </w:r>
    </w:p>
    <w:p>
      <w:pPr>
        <w:pStyle w:val="ListParagraph"/>
        <w:numPr>
          <w:ilvl w:val="0"/>
          <w:numId w:val="3"/>
        </w:numPr>
        <w:spacing w:after="40" w:before="40"/>
      </w:pPr>
      <w:r>
        <w:rPr>
          <w:rFonts w:ascii="Arial" w:cs="Arial" w:eastAsia="Arial" w:hAnsi="Arial"/>
          <w:sz w:val="20"/>
          <w:szCs w:val="20"/>
        </w:rPr>
        <w:t xml:space="preserve">The sales team receives a CRM notification with the prospect’s Step 1 and Step 2 data and a task to contact the prospect within 24 hours.</w:t>
      </w:r>
    </w:p>
    <w:p>
      <w:pPr>
        <w:pStyle w:val="ListParagraph"/>
        <w:numPr>
          <w:ilvl w:val="0"/>
          <w:numId w:val="3"/>
        </w:numPr>
        <w:spacing w:after="40" w:before="40"/>
      </w:pPr>
      <w:r>
        <w:rPr>
          <w:rFonts w:ascii="Arial" w:cs="Arial" w:eastAsia="Arial" w:hAnsi="Arial"/>
          <w:sz w:val="20"/>
          <w:szCs w:val="20"/>
        </w:rPr>
        <w:t xml:space="preserve">The sales rep conducts a discovery call to: (a) review the community’s current financial structure, (b) request a copy of recent financial reports to assess book quality and complexity, and (c) ask what the community is currently paying for accounting services — which anchors the pricing conversation and helps avoid leaving money on the table.</w:t>
      </w:r>
    </w:p>
    <w:p>
      <w:pPr>
        <w:pStyle w:val="ListParagraph"/>
        <w:numPr>
          <w:ilvl w:val="0"/>
          <w:numId w:val="3"/>
        </w:numPr>
        <w:spacing w:after="40" w:before="40"/>
      </w:pPr>
      <w:r>
        <w:rPr>
          <w:rFonts w:ascii="Arial" w:cs="Arial" w:eastAsia="Arial" w:hAnsi="Arial"/>
          <w:sz w:val="20"/>
          <w:szCs w:val="20"/>
        </w:rPr>
        <w:t xml:space="preserve">The rep then builds the quote manually in the pricing software with full information, applies any applicable adjustments (TIC, complexity, cash flow, report quality), and presents a custom proposal.</w:t>
      </w:r>
    </w:p>
    <w:p>
      <w:pPr>
        <w:spacing w:after="40" w:before="40"/>
      </w:pPr>
      <w:r>
        <w:t xml:space="preserve"/>
      </w:r>
    </w:p>
    <w:p>
      <w:pPr>
        <w:spacing w:after="80" w:before="60"/>
      </w:pPr>
      <w:r>
        <w:rPr>
          <w:rFonts w:ascii="Arial" w:cs="Arial" w:eastAsia="Arial" w:hAnsi="Arial"/>
          <w:sz w:val="20"/>
          <w:szCs w:val="20"/>
        </w:rPr>
        <w:t xml:space="preserve">Why this matters:</w:t>
      </w:r>
    </w:p>
    <w:p>
      <w:pPr>
        <w:pStyle w:val="ListParagraph"/>
        <w:numPr>
          <w:ilvl w:val="0"/>
          <w:numId w:val="3"/>
        </w:numPr>
        <w:spacing w:after="40" w:before="40"/>
      </w:pPr>
      <w:r>
        <w:rPr>
          <w:rFonts w:ascii="Arial" w:cs="Arial" w:eastAsia="Arial" w:hAnsi="Arial"/>
          <w:sz w:val="20"/>
          <w:szCs w:val="20"/>
        </w:rPr>
        <w:t xml:space="preserve">Revenue protection: A 400-unit community with semi-annual billing, 3 cost centers, and a special assessment could be significantly underquoted by a default auto-generated price.</w:t>
      </w:r>
    </w:p>
    <w:p>
      <w:pPr>
        <w:pStyle w:val="ListParagraph"/>
        <w:numPr>
          <w:ilvl w:val="0"/>
          <w:numId w:val="3"/>
        </w:numPr>
        <w:spacing w:after="40" w:before="40"/>
      </w:pPr>
      <w:r>
        <w:rPr>
          <w:rFonts w:ascii="Arial" w:cs="Arial" w:eastAsia="Arial" w:hAnsi="Arial"/>
          <w:sz w:val="20"/>
          <w:szCs w:val="20"/>
        </w:rPr>
        <w:t xml:space="preserve">Sales quality: High-unit prospects are worth a phone call. The sales-assisted process also allows the rep to build rapport, understand pain points, and position CF’s capabilities before price is even discussed.</w:t>
      </w:r>
    </w:p>
    <w:p>
      <w:pPr>
        <w:pStyle w:val="ListParagraph"/>
        <w:numPr>
          <w:ilvl w:val="0"/>
          <w:numId w:val="3"/>
        </w:numPr>
        <w:spacing w:after="40" w:before="40"/>
      </w:pPr>
      <w:r>
        <w:rPr>
          <w:rFonts w:ascii="Arial" w:cs="Arial" w:eastAsia="Arial" w:hAnsi="Arial"/>
          <w:sz w:val="20"/>
          <w:szCs w:val="20"/>
        </w:rPr>
        <w:t xml:space="preserve">Competitive intelligence: Knowing what the prospect currently pays gives the sales team a negotiating reference point and helps ensure CF’s price is positioned correctly relative to the incumbent.</w:t>
      </w:r>
    </w:p>
    <w:p>
      <w:pPr>
        <w:pStyle w:val="ListParagraph"/>
        <w:numPr>
          <w:ilvl w:val="0"/>
          <w:numId w:val="3"/>
        </w:numPr>
        <w:spacing w:after="40" w:before="40"/>
      </w:pPr>
      <w:r>
        <w:rPr>
          <w:rFonts w:ascii="Arial" w:cs="Arial" w:eastAsia="Arial" w:hAnsi="Arial"/>
          <w:sz w:val="20"/>
          <w:szCs w:val="20"/>
        </w:rPr>
        <w:t xml:space="preserve">Threshold note: The 250-unit trigger is a starting point. After implementation, review conversion data to determine if adjusting the threshold (e.g., 200 or 300 units) improves outcomes.</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Pricing Software Enhancements (Internal)</w:t>
      </w:r>
    </w:p>
    <w:p>
      <w:pPr>
        <w:spacing w:after="80" w:before="60"/>
      </w:pPr>
      <w:r>
        <w:rPr>
          <w:rFonts w:ascii="Arial" w:cs="Arial" w:eastAsia="Arial" w:hAnsi="Arial"/>
          <w:sz w:val="20"/>
          <w:szCs w:val="20"/>
        </w:rPr>
        <w:t xml:space="preserve">The following items are not RFQ form changes — they are updates required in the Effective Pricing software to handle edge cases and special community types correctly. These are flagged here so they are documented alongside the RFQ optimization work and can be scoped for the next software update cycle.</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1. TIC and Commercial Condo Community Flag</w:t>
      </w:r>
    </w:p>
    <w:p>
      <w:pPr>
        <w:spacing w:after="80" w:before="60"/>
      </w:pPr>
      <w:r>
        <w:rPr>
          <w:rFonts w:ascii="Arial" w:cs="Arial" w:eastAsia="Arial" w:hAnsi="Arial"/>
          <w:sz w:val="20"/>
          <w:szCs w:val="20"/>
        </w:rPr>
        <w:t xml:space="preserve">Tenants in Common (TIC) and Commercial Condo communities represent non-standard structures that may warrant pricing adjustments above the standard HOA/Condo base rate. These community types are not appropriate for self-identification on the RFQ form — prospects may not know the technical designation, and exposing the question reveals pricing logic.</w:t>
      </w:r>
    </w:p>
    <w:p>
      <w:pPr>
        <w:pStyle w:val="ListParagraph"/>
        <w:numPr>
          <w:ilvl w:val="0"/>
          <w:numId w:val="3"/>
        </w:numPr>
        <w:spacing w:after="40" w:before="40"/>
      </w:pPr>
      <w:r>
        <w:rPr>
          <w:rFonts w:ascii="Arial" w:cs="Arial" w:eastAsia="Arial" w:hAnsi="Arial"/>
          <w:sz w:val="20"/>
          <w:szCs w:val="20"/>
        </w:rPr>
        <w:t xml:space="preserve">Identification method: The pricing team flags TIC and Commercial Condo communities based on the community name (e.g., ‘123 Main Street TIC,’ ‘Riverside Commercial Condominium’).</w:t>
      </w:r>
    </w:p>
    <w:p>
      <w:pPr>
        <w:pStyle w:val="ListParagraph"/>
        <w:numPr>
          <w:ilvl w:val="0"/>
          <w:numId w:val="3"/>
        </w:numPr>
        <w:spacing w:after="40" w:before="40"/>
      </w:pPr>
      <w:r>
        <w:rPr>
          <w:rFonts w:ascii="Arial" w:cs="Arial" w:eastAsia="Arial" w:hAnsi="Arial"/>
          <w:sz w:val="20"/>
          <w:szCs w:val="20"/>
        </w:rPr>
        <w:t xml:space="preserve">Software requirement: Add an internal checkbox or flag in the Effective Pricing software that the pricing team can activate when a TIC or Commercial Condo structure is identified. This flag should trigger a pricing review and allow a manual or formula-based upcharge to be applied.</w:t>
      </w:r>
    </w:p>
    <w:p>
      <w:pPr>
        <w:pStyle w:val="ListParagraph"/>
        <w:numPr>
          <w:ilvl w:val="0"/>
          <w:numId w:val="3"/>
        </w:numPr>
        <w:spacing w:after="40" w:before="40"/>
      </w:pPr>
      <w:r>
        <w:rPr>
          <w:rFonts w:ascii="Arial" w:cs="Arial" w:eastAsia="Arial" w:hAnsi="Arial"/>
          <w:sz w:val="20"/>
          <w:szCs w:val="20"/>
        </w:rPr>
        <w:t xml:space="preserve">This replaces the previous Community Size/Complexity adder for these structure types, which was removed from the RFQ form.</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2. Semi-Annual / Annual Billing + Large Community Price Floor</w:t>
      </w:r>
    </w:p>
    <w:p>
      <w:pPr>
        <w:spacing w:after="80" w:before="60"/>
      </w:pPr>
      <w:r>
        <w:rPr>
          <w:rFonts w:ascii="Arial" w:cs="Arial" w:eastAsia="Arial" w:hAnsi="Arial"/>
          <w:sz w:val="20"/>
          <w:szCs w:val="20"/>
        </w:rPr>
        <w:t xml:space="preserve">The current pricing formula applies two independent discounts that can stack to produce prices below acceptable margins for large communities with infrequent billing:</w:t>
      </w:r>
    </w:p>
    <w:p>
      <w:pPr>
        <w:pStyle w:val="ListParagraph"/>
        <w:numPr>
          <w:ilvl w:val="0"/>
          <w:numId w:val="3"/>
        </w:numPr>
        <w:spacing w:after="40" w:before="40"/>
      </w:pPr>
      <w:r>
        <w:rPr>
          <w:rFonts w:ascii="Arial" w:cs="Arial" w:eastAsia="Arial" w:hAnsi="Arial"/>
          <w:sz w:val="20"/>
          <w:szCs w:val="20"/>
        </w:rPr>
        <w:t xml:space="preserve">Volume discount: Large unit counts (e.g., 1,000+ units) drive the per-unit base rate down substantially via the tier table.</w:t>
      </w:r>
    </w:p>
    <w:p>
      <w:pPr>
        <w:pStyle w:val="ListParagraph"/>
        <w:numPr>
          <w:ilvl w:val="0"/>
          <w:numId w:val="3"/>
        </w:numPr>
        <w:spacing w:after="40" w:before="40"/>
      </w:pPr>
      <w:r>
        <w:rPr>
          <w:rFonts w:ascii="Arial" w:cs="Arial" w:eastAsia="Arial" w:hAnsi="Arial"/>
          <w:sz w:val="20"/>
          <w:szCs w:val="20"/>
        </w:rPr>
        <w:t xml:space="preserve">Frequency multiplier: Semi-annual billing (0.80–0.90) and annual billing (0.70–0.80) apply an additional reduction on top of the already-discounted base rate.</w:t>
      </w:r>
    </w:p>
    <w:p>
      <w:pPr>
        <w:pStyle w:val="ListParagraph"/>
        <w:numPr>
          <w:ilvl w:val="0"/>
          <w:numId w:val="3"/>
        </w:numPr>
        <w:spacing w:after="40" w:before="40"/>
      </w:pPr>
      <w:r>
        <w:rPr>
          <w:rFonts w:ascii="Arial" w:cs="Arial" w:eastAsia="Arial" w:hAnsi="Arial"/>
          <w:sz w:val="20"/>
          <w:szCs w:val="20"/>
        </w:rPr>
        <w:t xml:space="preserve">When both conditions are present simultaneously, the combined effect can push the effective per-door rate below what the workload justifies.</w:t>
      </w:r>
    </w:p>
    <w:p>
      <w:pPr>
        <w:spacing w:after="40" w:before="40"/>
      </w:pPr>
      <w:r>
        <w:t xml:space="preserve"/>
      </w:r>
    </w:p>
    <w:p>
      <w:pPr>
        <w:spacing w:after="80" w:before="60"/>
      </w:pPr>
      <w:r>
        <w:rPr>
          <w:rFonts w:ascii="Arial" w:cs="Arial" w:eastAsia="Arial" w:hAnsi="Arial"/>
          <w:sz w:val="20"/>
          <w:szCs w:val="20"/>
        </w:rPr>
        <w:t xml:space="preserve">Proposed software enhancement: Build a minimum per-door price floor that activates when (a) billing frequency is semi-annual or annual AND (b) unit count exceeds a defined threshold. Example floor: $2.85/door for communities of 1,000+ units. Equivalent floors should be calibrated for other large-unit tiers (e.g., 500–999 units, 200–499 units) to create a smooth protection curve.</w:t>
      </w:r>
    </w:p>
    <w:p>
      <w:pPr>
        <w:spacing w:after="4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1800"/>
        <w:gridCol w:w="3560"/>
      </w:tblGrid>
      <w:tr>
        <w:trPr>
          <w:tblHeader/>
        </w:trPr>
        <w:tc>
          <w:tcPr>
            <w:tcW w:type="dxa" w:w="22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Unit Range</w:t>
            </w:r>
          </w:p>
        </w:tc>
        <w:tc>
          <w:tcPr>
            <w:tcW w:type="dxa" w:w="18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Triggers On</w:t>
            </w:r>
          </w:p>
        </w:tc>
        <w:tc>
          <w:tcPr>
            <w:tcW w:type="dxa" w:w="180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Min $/Door Floor</w:t>
            </w:r>
          </w:p>
        </w:tc>
        <w:tc>
          <w:tcPr>
            <w:tcW w:type="dxa" w:w="3560"/>
            <w:gridSpan w:val="1"/>
            <w:tcBorders>
              <w:top w:val="single" w:color="CCCCCC" w:sz="4"/>
              <w:left w:val="single" w:color="CCCCCC" w:sz="4"/>
              <w:bottom w:val="single" w:color="CCCCCC" w:sz="4"/>
              <w:right w:val="single" w:color="CCCCCC" w:sz="4"/>
            </w:tcBorders>
            <w:shd w:fill="1F4E79" w:val="clear"/>
            <w:tcMar>
              <w:top w:type="dxa" w:w="80"/>
              <w:left w:type="dxa" w:w="120"/>
              <w:bottom w:type="dxa" w:w="80"/>
              <w:right w:type="dxa" w:w="120"/>
            </w:tcMar>
          </w:tcPr>
          <w:p>
            <w:pPr>
              <w:jc w:val="left"/>
            </w:pPr>
            <w:r>
              <w:rPr>
                <w:rFonts w:ascii="Arial" w:cs="Arial" w:eastAsia="Arial" w:hAnsi="Arial"/>
                <w:b/>
                <w:bCs/>
                <w:color w:val="FFFFFF"/>
                <w:sz w:val="18"/>
                <w:szCs w:val="18"/>
              </w:rPr>
              <w:t xml:space="preserve">Notes</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1,000+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Semi-annual or Annual billing</w:t>
            </w:r>
          </w:p>
        </w:tc>
        <w:tc>
          <w:tcPr>
            <w:tcW w:type="dxa" w:w="1800"/>
            <w:gridSpan w:val="1"/>
            <w:tcBorders>
              <w:top w:val="single" w:color="CCCCCC" w:sz="4"/>
              <w:left w:val="single" w:color="CCCCCC" w:sz="4"/>
              <w:bottom w:val="single" w:color="CCCCCC" w:sz="4"/>
              <w:right w:val="single" w:color="CCCCCC" w:sz="4"/>
            </w:tcBorders>
            <w:shd w:fill="FFF2CC" w:val="clear"/>
            <w:tcMar>
              <w:top w:type="dxa" w:w="80"/>
              <w:left w:type="dxa" w:w="120"/>
              <w:bottom w:type="dxa" w:w="80"/>
              <w:right w:type="dxa" w:w="120"/>
            </w:tcMar>
          </w:tcPr>
          <w:p>
            <w:pPr>
              <w:jc w:val="left"/>
            </w:pPr>
            <w:r>
              <w:rPr>
                <w:rFonts w:ascii="Arial" w:cs="Arial" w:eastAsia="Arial" w:hAnsi="Arial"/>
                <w:b/>
                <w:bCs/>
                <w:color w:val="7F6000"/>
                <w:sz w:val="18"/>
                <w:szCs w:val="18"/>
              </w:rPr>
              <w:t xml:space="preserve">$2.85 / door</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Confirmed by Russell. Prevents volume + frequency double-discount from compressing margins below acceptable level.</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500–999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Semi-annual or Annual billing</w:t>
            </w:r>
          </w:p>
        </w:tc>
        <w:tc>
          <w:tcPr>
            <w:tcW w:type="dxa" w:w="18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bCs/>
                <w:color w:val="843C0C"/>
                <w:sz w:val="18"/>
                <w:szCs w:val="18"/>
              </w:rPr>
              <w:t xml:space="preserve">TBD — calibrate</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Recommend pricing team reviews actual quotes in this range to set an appropriate floor.</w:t>
            </w:r>
          </w:p>
        </w:tc>
      </w:tr>
      <w:tr>
        <w:tc>
          <w:tcPr>
            <w:tcW w:type="dxa" w:w="22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bCs/>
                <w:color w:val="000000"/>
                <w:sz w:val="18"/>
                <w:szCs w:val="18"/>
              </w:rPr>
              <w:t xml:space="preserve">200–499 units</w:t>
            </w:r>
          </w:p>
        </w:tc>
        <w:tc>
          <w:tcPr>
            <w:tcW w:type="dxa" w:w="1800"/>
            <w:gridSpan w:val="1"/>
            <w:tcBorders>
              <w:top w:val="single" w:color="CCCCCC" w:sz="4"/>
              <w:left w:val="single" w:color="CCCCCC" w:sz="4"/>
              <w:bottom w:val="single" w:color="CCCCCC" w:sz="4"/>
              <w:right w:val="single" w:color="CCCCCC" w:sz="4"/>
            </w:tcBorders>
            <w:shd w:fill="F2F2F2"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Annual billing only</w:t>
            </w:r>
          </w:p>
        </w:tc>
        <w:tc>
          <w:tcPr>
            <w:tcW w:type="dxa" w:w="1800"/>
            <w:gridSpan w:val="1"/>
            <w:tcBorders>
              <w:top w:val="single" w:color="CCCCCC" w:sz="4"/>
              <w:left w:val="single" w:color="CCCCCC" w:sz="4"/>
              <w:bottom w:val="single" w:color="CCCCCC" w:sz="4"/>
              <w:right w:val="single" w:color="CCCCCC" w:sz="4"/>
            </w:tcBorders>
            <w:shd w:fill="FCE4D6" w:val="clear"/>
            <w:tcMar>
              <w:top w:type="dxa" w:w="80"/>
              <w:left w:type="dxa" w:w="120"/>
              <w:bottom w:type="dxa" w:w="80"/>
              <w:right w:type="dxa" w:w="120"/>
            </w:tcMar>
          </w:tcPr>
          <w:p>
            <w:pPr>
              <w:jc w:val="left"/>
            </w:pPr>
            <w:r>
              <w:rPr>
                <w:rFonts w:ascii="Arial" w:cs="Arial" w:eastAsia="Arial" w:hAnsi="Arial"/>
                <w:b/>
                <w:bCs/>
                <w:color w:val="843C0C"/>
                <w:sz w:val="18"/>
                <w:szCs w:val="18"/>
              </w:rPr>
              <w:t xml:space="preserve">TBD — calibrate</w:t>
            </w:r>
          </w:p>
        </w:tc>
        <w:tc>
          <w:tcPr>
            <w:tcW w:type="dxa" w:w="3560"/>
            <w:gridSpan w:val="1"/>
            <w:tcBorders>
              <w:top w:val="single" w:color="CCCCCC" w:sz="4"/>
              <w:left w:val="single" w:color="CCCCCC" w:sz="4"/>
              <w:bottom w:val="single" w:color="CCCCCC" w:sz="4"/>
              <w:right w:val="single" w:color="CCCCCC" w:sz="4"/>
            </w:tcBorders>
            <w:shd w:fill="FFFFFF" w:val="clear"/>
            <w:tcMar>
              <w:top w:type="dxa" w:w="80"/>
              <w:left w:type="dxa" w:w="120"/>
              <w:bottom w:type="dxa" w:w="80"/>
              <w:right w:type="dxa" w:w="120"/>
            </w:tcMar>
          </w:tcPr>
          <w:p>
            <w:pPr>
              <w:jc w:val="left"/>
            </w:pPr>
            <w:r>
              <w:rPr>
                <w:rFonts w:ascii="Arial" w:cs="Arial" w:eastAsia="Arial" w:hAnsi="Arial"/>
                <w:b w:val="false"/>
                <w:bCs w:val="false"/>
                <w:color w:val="000000"/>
                <w:sz w:val="18"/>
                <w:szCs w:val="18"/>
              </w:rPr>
              <w:t xml:space="preserve">Lower risk range but worth reviewing. Semi-annual at this size is generally acceptable.</w:t>
            </w:r>
          </w:p>
        </w:tc>
      </w:tr>
    </w:tbl>
    <w:p>
      <w:pPr>
        <w:spacing w:after="40" w:before="40"/>
      </w:pPr>
      <w:r>
        <w:t xml:space="preserve"/>
      </w:r>
    </w:p>
    <w:p>
      <w:pPr>
        <w:spacing w:after="80" w:before="60"/>
      </w:pPr>
      <w:r>
        <w:rPr>
          <w:rFonts w:ascii="Arial" w:cs="Arial" w:eastAsia="Arial" w:hAnsi="Arial"/>
          <w:i/>
          <w:iCs/>
          <w:sz w:val="20"/>
          <w:szCs w:val="20"/>
        </w:rPr>
        <w:t xml:space="preserve">Implementation note: The floor should override the frequency multiplier result — i.e., if (base rate × frequency multiplier) &lt; floor, the system uses the floor rate instead. The override should be visible to the pricing team in the software so it is transparent when applied.</w:t>
      </w:r>
    </w:p>
    <w:p>
      <w:pPr>
        <w:spacing w:after="40" w:before="40"/>
      </w:pPr>
      <w:r>
        <w:t xml:space="preserve"/>
      </w:r>
    </w:p>
    <w:p>
      <w:pPr>
        <w:pStyle w:val="Heading2"/>
        <w:pBdr>
          <w:bottom w:val="single" w:color="2E75B6" w:sz="6" w:space="1"/>
        </w:pBdr>
        <w:spacing w:after="80" w:before="240"/>
      </w:pPr>
      <w:r>
        <w:rPr>
          <w:rFonts w:ascii="Arial" w:cs="Arial" w:eastAsia="Arial" w:hAnsi="Arial"/>
          <w:b/>
          <w:bCs/>
          <w:color w:val="1F4E79"/>
          <w:sz w:val="26"/>
          <w:szCs w:val="26"/>
        </w:rPr>
        <w:t xml:space="preserve">3. Regional Pricing Adjustment</w:t>
      </w:r>
    </w:p>
    <w:p>
      <w:pPr>
        <w:spacing w:after="80" w:before="60"/>
      </w:pPr>
      <w:r>
        <w:rPr>
          <w:rFonts w:ascii="Arial" w:cs="Arial" w:eastAsia="Arial" w:hAnsi="Arial"/>
          <w:sz w:val="20"/>
          <w:szCs w:val="20"/>
        </w:rPr>
        <w:t xml:space="preserve">The current PCI (Per Capita Income) multiplier approximates regional pricing variation using zip code-derived income data, producing a 0.85–1.10 range. A more granular regional pricing layer could be built into the software as a separate control, allowing deliberate market-by-market price positioning beyond what the PCI tier table provides.</w:t>
      </w:r>
    </w:p>
    <w:p>
      <w:pPr>
        <w:pStyle w:val="ListParagraph"/>
        <w:numPr>
          <w:ilvl w:val="0"/>
          <w:numId w:val="3"/>
        </w:numPr>
        <w:spacing w:after="40" w:before="40"/>
      </w:pPr>
      <w:r>
        <w:rPr>
          <w:rFonts w:ascii="Arial" w:cs="Arial" w:eastAsia="Arial" w:hAnsi="Arial"/>
          <w:sz w:val="20"/>
          <w:szCs w:val="20"/>
        </w:rPr>
        <w:t xml:space="preserve">Use case: CF may want to price more aggressively in markets where competition is high, or apply a premium in markets where CF has strong brand presence and lower competitive pressure.</w:t>
      </w:r>
    </w:p>
    <w:p>
      <w:pPr>
        <w:pStyle w:val="ListParagraph"/>
        <w:numPr>
          <w:ilvl w:val="0"/>
          <w:numId w:val="3"/>
        </w:numPr>
        <w:spacing w:after="40" w:before="40"/>
      </w:pPr>
      <w:r>
        <w:rPr>
          <w:rFonts w:ascii="Arial" w:cs="Arial" w:eastAsia="Arial" w:hAnsi="Arial"/>
          <w:sz w:val="20"/>
          <w:szCs w:val="20"/>
        </w:rPr>
        <w:t xml:space="preserve">Implementation options: (a) A regional multiplier table by state or metro area that overlays the PCI multiplier, or (b) a manual override field in the pricing software that allows the pricing team to apply a market adjustment as a percentage above or below the calculated price.</w:t>
      </w:r>
    </w:p>
    <w:p>
      <w:pPr>
        <w:pStyle w:val="ListParagraph"/>
        <w:numPr>
          <w:ilvl w:val="0"/>
          <w:numId w:val="3"/>
        </w:numPr>
        <w:spacing w:after="40" w:before="40"/>
      </w:pPr>
      <w:r>
        <w:rPr>
          <w:rFonts w:ascii="Arial" w:cs="Arial" w:eastAsia="Arial" w:hAnsi="Arial"/>
          <w:sz w:val="20"/>
          <w:szCs w:val="20"/>
        </w:rPr>
        <w:t xml:space="preserve">This enhancement is additive to the existing PCI mechanism and would not require any changes to the RFQ form — it is entirely internal to the pricing software.</w:t>
      </w:r>
    </w:p>
    <w:p>
      <w:pPr>
        <w:pStyle w:val="ListParagraph"/>
        <w:numPr>
          <w:ilvl w:val="0"/>
          <w:numId w:val="3"/>
        </w:numPr>
        <w:spacing w:after="40" w:before="40"/>
      </w:pPr>
      <w:r>
        <w:rPr>
          <w:rFonts w:ascii="Arial" w:cs="Arial" w:eastAsia="Arial" w:hAnsi="Arial"/>
          <w:sz w:val="20"/>
          <w:szCs w:val="20"/>
        </w:rPr>
        <w:t xml:space="preserve">Recommended first step: Pull current quotes by state/metro and review whether pricing outcomes appear consistent with market conditions before building the adjustment table.</w:t>
      </w:r>
    </w:p>
    <w:p>
      <w:pPr>
        <w:spacing w:after="40" w:before="40"/>
      </w:pPr>
      <w:r>
        <w:t xml:space="preserve"/>
      </w:r>
    </w:p>
    <w:p>
      <w:pPr>
        <w:pStyle w:val="Heading1"/>
        <w:shd w:fill="1F4E79" w:val="clear"/>
        <w:spacing w:after="120" w:before="360"/>
        <w:ind w:left="120" w:right="120"/>
      </w:pPr>
      <w:r>
        <w:rPr>
          <w:rFonts w:ascii="Arial" w:cs="Arial" w:eastAsia="Arial" w:hAnsi="Arial"/>
          <w:b/>
          <w:bCs/>
          <w:color w:val="FFFFFF"/>
          <w:sz w:val="32"/>
          <w:szCs w:val="32"/>
        </w:rPr>
        <w:t xml:space="preserve">Step 1 Update Required: Add Zip Code</w:t>
      </w:r>
    </w:p>
    <w:p>
      <w:pPr>
        <w:spacing w:after="80" w:before="60"/>
      </w:pPr>
      <w:r>
        <w:rPr>
          <w:rFonts w:ascii="Arial" w:cs="Arial" w:eastAsia="Arial" w:hAnsi="Arial"/>
          <w:sz w:val="20"/>
          <w:szCs w:val="20"/>
        </w:rPr>
        <w:t xml:space="preserve">Currently Step 1 captures City and State for use in the prospect cover letter. Zip code must be added to Step 1 so the Per Capita Income (PCI) multiplier can be auto-derived internally without ever asking the prospect about income levels.</w:t>
      </w:r>
    </w:p>
    <w:p>
      <w:pPr>
        <w:pStyle w:val="ListParagraph"/>
        <w:numPr>
          <w:ilvl w:val="0"/>
          <w:numId w:val="3"/>
        </w:numPr>
        <w:spacing w:after="40" w:before="40"/>
      </w:pPr>
      <w:r>
        <w:rPr>
          <w:rFonts w:ascii="Arial" w:cs="Arial" w:eastAsia="Arial" w:hAnsi="Arial"/>
          <w:sz w:val="20"/>
          <w:szCs w:val="20"/>
        </w:rPr>
        <w:t xml:space="preserve">Add Zip Code field to Step 1 alongside City / State.</w:t>
      </w:r>
    </w:p>
    <w:p>
      <w:pPr>
        <w:pStyle w:val="ListParagraph"/>
        <w:numPr>
          <w:ilvl w:val="0"/>
          <w:numId w:val="3"/>
        </w:numPr>
        <w:spacing w:after="40" w:before="40"/>
      </w:pPr>
      <w:r>
        <w:rPr>
          <w:rFonts w:ascii="Arial" w:cs="Arial" w:eastAsia="Arial" w:hAnsi="Arial"/>
          <w:sz w:val="20"/>
          <w:szCs w:val="20"/>
        </w:rPr>
        <w:t xml:space="preserve">Use zip code to look up PCI tier automatically in the pricing engine (0.85–1.10 multiplier).</w:t>
      </w:r>
    </w:p>
    <w:p>
      <w:pPr>
        <w:pStyle w:val="ListParagraph"/>
        <w:numPr>
          <w:ilvl w:val="0"/>
          <w:numId w:val="3"/>
        </w:numPr>
        <w:spacing w:after="40" w:before="40"/>
      </w:pPr>
      <w:r>
        <w:rPr>
          <w:rFonts w:ascii="Arial" w:cs="Arial" w:eastAsia="Arial" w:hAnsi="Arial"/>
          <w:sz w:val="20"/>
          <w:szCs w:val="20"/>
        </w:rPr>
        <w:t xml:space="preserve">Remove any separate PCI or location-type question from Step 2 entirely.</w:t>
      </w:r>
    </w:p>
    <w:p>
      <w:pPr>
        <w:pStyle w:val="ListParagraph"/>
        <w:numPr>
          <w:ilvl w:val="0"/>
          <w:numId w:val="3"/>
        </w:numPr>
        <w:spacing w:after="40" w:before="40"/>
      </w:pPr>
      <w:r>
        <w:rPr>
          <w:rFonts w:ascii="Arial" w:cs="Arial" w:eastAsia="Arial" w:hAnsi="Arial"/>
          <w:sz w:val="20"/>
          <w:szCs w:val="20"/>
        </w:rPr>
        <w:t xml:space="preserve">This derives a meaningful pricing variable from data the prospect already provides, with zero additional friction.</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FFFFFF"/>
      <w:sz w:val="32"/>
      <w:szCs w:val="32"/>
    </w:rPr>
  </w:style>
  <w:style w:type="paragraph" w:styleId="Heading2">
    <w:name w:val="Heading 2"/>
    <w:basedOn w:val="Normal"/>
    <w:next w:val="Normal"/>
    <w:qFormat/>
    <w:pPr>
      <w:spacing w:after="80" w:before="24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2026-03-03T18:15:27.546Z</dcterms:created>
  <dcterms:modified xsi:type="dcterms:W3CDTF">2026-03-03T18:15:27.547Z</dcterms:modified>
</cp:coreProperties>
</file>

<file path=docProps/custom.xml><?xml version="1.0" encoding="utf-8"?>
<Properties xmlns="http://schemas.openxmlformats.org/officeDocument/2006/custom-properties" xmlns:vt="http://schemas.openxmlformats.org/officeDocument/2006/docPropsVTypes"/>
</file>